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EB24FD">
        <w:rPr>
          <w:b/>
          <w:sz w:val="24"/>
          <w:lang w:val="lt-LT"/>
        </w:rPr>
        <w:t xml:space="preserve">PALOMENĖS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DE3A48">
        <w:rPr>
          <w:sz w:val="24"/>
          <w:lang w:val="lt-LT"/>
        </w:rPr>
        <w:t xml:space="preserve">31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DE3A48">
        <w:rPr>
          <w:sz w:val="24"/>
          <w:lang w:val="lt-LT"/>
        </w:rPr>
        <w:t>747</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EB24FD">
        <w:rPr>
          <w:sz w:val="24"/>
          <w:szCs w:val="24"/>
          <w:lang w:val="lt-LT"/>
        </w:rPr>
        <w:t>Palomenės</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 xml:space="preserve">liepos </w:t>
      </w:r>
      <w:r w:rsidR="00EB24FD">
        <w:rPr>
          <w:sz w:val="24"/>
          <w:szCs w:val="24"/>
          <w:lang w:val="lt-LT"/>
        </w:rPr>
        <w:t>23</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EB24FD">
        <w:rPr>
          <w:sz w:val="24"/>
          <w:szCs w:val="24"/>
          <w:lang w:val="lt-LT"/>
        </w:rPr>
        <w:t>NS-</w:t>
      </w:r>
      <w:r w:rsidR="00CF6022">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EB24FD">
        <w:rPr>
          <w:sz w:val="24"/>
          <w:szCs w:val="24"/>
          <w:lang w:val="lt-LT"/>
        </w:rPr>
        <w:t>Palomenės</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Pr="00EB3AE3"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A3527D">
        <w:rPr>
          <w:sz w:val="24"/>
          <w:szCs w:val="24"/>
          <w:lang w:val="lt-LT"/>
        </w:rPr>
        <w:t>„</w:t>
      </w:r>
      <w:r w:rsidR="00EB24FD">
        <w:rPr>
          <w:sz w:val="24"/>
          <w:szCs w:val="24"/>
          <w:lang w:val="lt-LT"/>
        </w:rPr>
        <w:t>Beloniškių</w:t>
      </w:r>
      <w:r w:rsidR="0047754B">
        <w:rPr>
          <w:sz w:val="24"/>
          <w:szCs w:val="24"/>
          <w:lang w:val="lt-LT"/>
        </w:rPr>
        <w:t xml:space="preserve"> </w:t>
      </w:r>
      <w:r w:rsidR="00D33B8A">
        <w:rPr>
          <w:sz w:val="24"/>
          <w:szCs w:val="24"/>
          <w:lang w:val="lt-LT"/>
        </w:rPr>
        <w:t>bendruomenė</w:t>
      </w:r>
      <w:r w:rsidR="00A3527D">
        <w:rPr>
          <w:sz w:val="24"/>
          <w:szCs w:val="24"/>
          <w:lang w:val="lt-LT"/>
        </w:rPr>
        <w:t>“</w:t>
      </w:r>
      <w:r w:rsidR="00BD0D6C" w:rsidRPr="00EB3AE3">
        <w:rPr>
          <w:sz w:val="24"/>
          <w:szCs w:val="24"/>
          <w:lang w:val="lt-LT"/>
        </w:rPr>
        <w:t xml:space="preserve"> – </w:t>
      </w:r>
      <w:r w:rsidR="00A3527D">
        <w:rPr>
          <w:sz w:val="24"/>
          <w:szCs w:val="24"/>
          <w:lang w:val="lt-LT"/>
        </w:rPr>
        <w:t>1</w:t>
      </w:r>
      <w:r w:rsidR="00EB24FD">
        <w:rPr>
          <w:sz w:val="24"/>
          <w:szCs w:val="24"/>
          <w:lang w:val="lt-LT"/>
        </w:rPr>
        <w:t>373</w:t>
      </w:r>
      <w:r w:rsidR="0047754B">
        <w:rPr>
          <w:sz w:val="24"/>
          <w:szCs w:val="24"/>
          <w:lang w:val="lt-LT"/>
        </w:rPr>
        <w:t>,00 Eur.</w:t>
      </w:r>
    </w:p>
    <w:p w:rsidR="00E11A69" w:rsidRPr="00E11A69" w:rsidRDefault="00E11A69" w:rsidP="00E11A69">
      <w:pPr>
        <w:tabs>
          <w:tab w:val="left" w:pos="900"/>
        </w:tabs>
        <w:spacing w:line="276" w:lineRule="auto"/>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B0AC6" w:rsidRDefault="00EB0AC6" w:rsidP="00EB0AC6">
      <w:pPr>
        <w:spacing w:line="276" w:lineRule="auto"/>
        <w:rPr>
          <w:sz w:val="24"/>
          <w:szCs w:val="24"/>
          <w:lang w:val="lt-LT"/>
        </w:rPr>
      </w:pP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Mindaugas Nasevičius</w:t>
      </w:r>
    </w:p>
    <w:p w:rsidR="00EB0AC6" w:rsidRDefault="00EB0AC6" w:rsidP="00EB0AC6">
      <w:pPr>
        <w:spacing w:line="276" w:lineRule="auto"/>
        <w:jc w:val="both"/>
        <w:rPr>
          <w:sz w:val="24"/>
          <w:szCs w:val="24"/>
          <w:lang w:val="lt-LT"/>
        </w:rPr>
      </w:pPr>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85" w:rsidRDefault="009E4185" w:rsidP="00F00238">
      <w:r>
        <w:separator/>
      </w:r>
    </w:p>
  </w:endnote>
  <w:endnote w:type="continuationSeparator" w:id="0">
    <w:p w:rsidR="009E4185" w:rsidRDefault="009E4185"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85" w:rsidRDefault="009E4185" w:rsidP="00F00238">
      <w:r>
        <w:separator/>
      </w:r>
    </w:p>
  </w:footnote>
  <w:footnote w:type="continuationSeparator" w:id="0">
    <w:p w:rsidR="009E4185" w:rsidRDefault="009E4185"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408FC"/>
    <w:rsid w:val="0004618D"/>
    <w:rsid w:val="0004665D"/>
    <w:rsid w:val="00051E70"/>
    <w:rsid w:val="00052F04"/>
    <w:rsid w:val="000547D7"/>
    <w:rsid w:val="00056848"/>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185"/>
    <w:rsid w:val="009E46BC"/>
    <w:rsid w:val="009E4E71"/>
    <w:rsid w:val="009F5BD0"/>
    <w:rsid w:val="00A02898"/>
    <w:rsid w:val="00A048EE"/>
    <w:rsid w:val="00A13D93"/>
    <w:rsid w:val="00A16686"/>
    <w:rsid w:val="00A1785D"/>
    <w:rsid w:val="00A21520"/>
    <w:rsid w:val="00A341E9"/>
    <w:rsid w:val="00A3527D"/>
    <w:rsid w:val="00A36CA7"/>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9695A"/>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3A4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24FD"/>
    <w:rsid w:val="00EB3AE3"/>
    <w:rsid w:val="00EC4969"/>
    <w:rsid w:val="00EC4DD8"/>
    <w:rsid w:val="00ED0D69"/>
    <w:rsid w:val="00ED27E9"/>
    <w:rsid w:val="00ED360C"/>
    <w:rsid w:val="00ED6FDD"/>
    <w:rsid w:val="00ED7118"/>
    <w:rsid w:val="00EE0153"/>
    <w:rsid w:val="00EE1D57"/>
    <w:rsid w:val="00EE7DB4"/>
    <w:rsid w:val="00EF1526"/>
    <w:rsid w:val="00EF2DAC"/>
    <w:rsid w:val="00EF4D6E"/>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1676</Words>
  <Characters>956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2019-08-01T06:26:00Z</dcterms:created>
  <dcterms:modified xsi:type="dcterms:W3CDTF">2019-08-01T06:26:00Z</dcterms:modified>
</cp:coreProperties>
</file>