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D1D32" w14:textId="77777777" w:rsidR="00B4226B" w:rsidRDefault="00B4226B" w:rsidP="00B4226B">
      <w:pPr>
        <w:pStyle w:val="Antrat1"/>
        <w:ind w:left="5040"/>
        <w:jc w:val="left"/>
        <w:rPr>
          <w:b w:val="0"/>
          <w:sz w:val="24"/>
        </w:rPr>
      </w:pPr>
      <w:r>
        <w:rPr>
          <w:b w:val="0"/>
          <w:sz w:val="24"/>
        </w:rPr>
        <w:t>PATVIRTINTA</w:t>
      </w:r>
    </w:p>
    <w:p w14:paraId="0E15F22A" w14:textId="77777777" w:rsidR="00B4226B" w:rsidRPr="007633B8" w:rsidRDefault="00B4226B" w:rsidP="00B4226B">
      <w:pPr>
        <w:ind w:left="5040"/>
        <w:rPr>
          <w:sz w:val="24"/>
          <w:szCs w:val="24"/>
          <w:lang w:val="lt-LT"/>
        </w:rPr>
      </w:pPr>
      <w:r w:rsidRPr="002C26EA">
        <w:rPr>
          <w:sz w:val="24"/>
          <w:szCs w:val="24"/>
        </w:rPr>
        <w:t>Kaišiadorių</w:t>
      </w:r>
      <w:r>
        <w:rPr>
          <w:sz w:val="24"/>
          <w:szCs w:val="24"/>
        </w:rPr>
        <w:t xml:space="preserve"> </w:t>
      </w:r>
      <w:r w:rsidRPr="007633B8">
        <w:rPr>
          <w:sz w:val="24"/>
          <w:szCs w:val="24"/>
          <w:lang w:val="lt-LT"/>
        </w:rPr>
        <w:t>rajono savivaldybės kontrolieriaus                                                                                          2018 m. lapkričio 9 d. įsakymu Nr. V-15</w:t>
      </w:r>
    </w:p>
    <w:p w14:paraId="7AF7F76B" w14:textId="77777777" w:rsidR="00B4226B" w:rsidRPr="001F0129" w:rsidRDefault="00B4226B" w:rsidP="00B4226B">
      <w:pPr>
        <w:tabs>
          <w:tab w:val="left" w:pos="6600"/>
          <w:tab w:val="right" w:pos="9972"/>
        </w:tabs>
        <w:rPr>
          <w:sz w:val="24"/>
          <w:szCs w:val="24"/>
        </w:rPr>
      </w:pPr>
      <w:r>
        <w:rPr>
          <w:sz w:val="24"/>
          <w:szCs w:val="24"/>
        </w:rPr>
        <w:t xml:space="preserve"> </w:t>
      </w:r>
    </w:p>
    <w:p w14:paraId="15DBACA0" w14:textId="77777777" w:rsidR="00B4226B" w:rsidRPr="00145D7A" w:rsidRDefault="00B4226B" w:rsidP="00B4226B">
      <w:pPr>
        <w:pStyle w:val="Antrat1"/>
        <w:spacing w:line="360" w:lineRule="auto"/>
        <w:rPr>
          <w:sz w:val="24"/>
        </w:rPr>
      </w:pPr>
      <w:r w:rsidRPr="00145D7A">
        <w:rPr>
          <w:sz w:val="24"/>
        </w:rPr>
        <w:t>KAIŠIADORIŲ RAJONO SAVIVALDYBĖS KONTROLĖS IR AUDITO TARNYBOS</w:t>
      </w:r>
    </w:p>
    <w:p w14:paraId="277A2734" w14:textId="77777777" w:rsidR="00B4226B" w:rsidRPr="00241260" w:rsidRDefault="00B4226B" w:rsidP="00B4226B">
      <w:pPr>
        <w:pStyle w:val="Antrat1"/>
        <w:spacing w:line="360" w:lineRule="auto"/>
        <w:rPr>
          <w:sz w:val="24"/>
        </w:rPr>
      </w:pPr>
      <w:r>
        <w:rPr>
          <w:sz w:val="24"/>
        </w:rPr>
        <w:t>2019 METŲ VEIKLOS PLANAS</w:t>
      </w:r>
    </w:p>
    <w:p w14:paraId="143ECEC2" w14:textId="77777777" w:rsidR="00B4226B" w:rsidRDefault="00B4226B" w:rsidP="00B4226B"/>
    <w:p w14:paraId="488EAC49" w14:textId="77777777" w:rsidR="00B4226B" w:rsidRDefault="00B4226B" w:rsidP="00B4226B">
      <w:pPr>
        <w:numPr>
          <w:ilvl w:val="0"/>
          <w:numId w:val="2"/>
        </w:numPr>
        <w:rPr>
          <w:color w:val="2F5496"/>
          <w:sz w:val="24"/>
          <w:szCs w:val="24"/>
        </w:rPr>
      </w:pPr>
      <w:r w:rsidRPr="00A57449">
        <w:rPr>
          <w:color w:val="2F5496"/>
          <w:sz w:val="24"/>
          <w:szCs w:val="24"/>
        </w:rPr>
        <w:t>FINANSINIAI   IR TEISĖTUMO AUDITAI</w:t>
      </w:r>
    </w:p>
    <w:p w14:paraId="2474551F" w14:textId="77777777" w:rsidR="00B4226B" w:rsidRPr="00A57449" w:rsidRDefault="00B4226B" w:rsidP="00B4226B">
      <w:pPr>
        <w:rPr>
          <w:color w:val="2F5496"/>
          <w:sz w:val="24"/>
          <w:szCs w:val="24"/>
        </w:rPr>
      </w:pPr>
    </w:p>
    <w:p w14:paraId="1DF24F9E" w14:textId="77777777" w:rsidR="00B4226B" w:rsidRPr="00A57449" w:rsidRDefault="00B4226B" w:rsidP="00B4226B">
      <w:pPr>
        <w:rPr>
          <w:color w:val="2F549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171"/>
        <w:gridCol w:w="1929"/>
      </w:tblGrid>
      <w:tr w:rsidR="00B4226B" w:rsidRPr="00A57449" w14:paraId="65E9049D" w14:textId="77777777" w:rsidTr="00A932B5">
        <w:tc>
          <w:tcPr>
            <w:tcW w:w="528" w:type="dxa"/>
            <w:shd w:val="clear" w:color="auto" w:fill="auto"/>
          </w:tcPr>
          <w:p w14:paraId="73E53391" w14:textId="77777777" w:rsidR="00B4226B" w:rsidRPr="00301A95" w:rsidRDefault="00B4226B" w:rsidP="00A932B5">
            <w:pPr>
              <w:jc w:val="center"/>
              <w:rPr>
                <w:color w:val="000000"/>
                <w:sz w:val="22"/>
                <w:szCs w:val="22"/>
              </w:rPr>
            </w:pPr>
            <w:proofErr w:type="spellStart"/>
            <w:r w:rsidRPr="00301A95">
              <w:rPr>
                <w:color w:val="000000"/>
                <w:sz w:val="22"/>
                <w:szCs w:val="22"/>
              </w:rPr>
              <w:t>Eil</w:t>
            </w:r>
            <w:proofErr w:type="spellEnd"/>
            <w:r w:rsidRPr="00301A95">
              <w:rPr>
                <w:color w:val="000000"/>
                <w:sz w:val="22"/>
                <w:szCs w:val="22"/>
              </w:rPr>
              <w:t>. Nr.</w:t>
            </w:r>
          </w:p>
        </w:tc>
        <w:tc>
          <w:tcPr>
            <w:tcW w:w="7660" w:type="dxa"/>
            <w:shd w:val="clear" w:color="auto" w:fill="auto"/>
          </w:tcPr>
          <w:p w14:paraId="3AF83358" w14:textId="77777777" w:rsidR="00B4226B" w:rsidRPr="00A57449" w:rsidRDefault="00B4226B" w:rsidP="00A932B5">
            <w:pPr>
              <w:jc w:val="center"/>
              <w:rPr>
                <w:sz w:val="24"/>
                <w:szCs w:val="24"/>
                <w:lang w:val="lt-LT"/>
              </w:rPr>
            </w:pPr>
            <w:r>
              <w:rPr>
                <w:sz w:val="24"/>
                <w:szCs w:val="24"/>
                <w:lang w:val="lt-LT"/>
              </w:rPr>
              <w:t>Pavadinimas</w:t>
            </w:r>
          </w:p>
        </w:tc>
        <w:tc>
          <w:tcPr>
            <w:tcW w:w="2000" w:type="dxa"/>
          </w:tcPr>
          <w:p w14:paraId="5ED67F93" w14:textId="77777777" w:rsidR="00B4226B" w:rsidRPr="00A57449" w:rsidRDefault="00B4226B" w:rsidP="00A932B5">
            <w:pPr>
              <w:jc w:val="center"/>
              <w:rPr>
                <w:sz w:val="24"/>
                <w:szCs w:val="24"/>
                <w:lang w:val="lt-LT"/>
              </w:rPr>
            </w:pPr>
            <w:r>
              <w:rPr>
                <w:sz w:val="24"/>
                <w:szCs w:val="24"/>
                <w:lang w:val="lt-LT"/>
              </w:rPr>
              <w:t>Vykdymo terminas</w:t>
            </w:r>
          </w:p>
        </w:tc>
      </w:tr>
      <w:tr w:rsidR="00B4226B" w:rsidRPr="00A57449" w14:paraId="5F55B8EF" w14:textId="77777777" w:rsidTr="00A932B5">
        <w:tc>
          <w:tcPr>
            <w:tcW w:w="528" w:type="dxa"/>
            <w:vMerge w:val="restart"/>
            <w:shd w:val="clear" w:color="auto" w:fill="auto"/>
          </w:tcPr>
          <w:p w14:paraId="3762EF8D" w14:textId="77777777" w:rsidR="00B4226B" w:rsidRPr="00A57449" w:rsidRDefault="00B4226B" w:rsidP="00A932B5">
            <w:pPr>
              <w:rPr>
                <w:color w:val="000000"/>
                <w:sz w:val="24"/>
                <w:szCs w:val="24"/>
              </w:rPr>
            </w:pPr>
            <w:r w:rsidRPr="00A57449">
              <w:rPr>
                <w:color w:val="000000"/>
                <w:sz w:val="24"/>
                <w:szCs w:val="24"/>
              </w:rPr>
              <w:t>1.</w:t>
            </w:r>
          </w:p>
        </w:tc>
        <w:tc>
          <w:tcPr>
            <w:tcW w:w="7660" w:type="dxa"/>
            <w:shd w:val="clear" w:color="auto" w:fill="auto"/>
          </w:tcPr>
          <w:p w14:paraId="698CB901" w14:textId="77777777" w:rsidR="00B4226B" w:rsidRPr="00A57449" w:rsidRDefault="00B4226B" w:rsidP="00A932B5">
            <w:pPr>
              <w:jc w:val="both"/>
              <w:rPr>
                <w:sz w:val="24"/>
                <w:szCs w:val="24"/>
                <w:lang w:val="lt-LT"/>
              </w:rPr>
            </w:pPr>
            <w:r w:rsidRPr="00A57449">
              <w:rPr>
                <w:sz w:val="24"/>
                <w:szCs w:val="24"/>
                <w:lang w:val="lt-LT"/>
              </w:rPr>
              <w:t xml:space="preserve">          </w:t>
            </w:r>
            <w:r>
              <w:rPr>
                <w:sz w:val="24"/>
                <w:szCs w:val="24"/>
                <w:lang w:val="lt-LT"/>
              </w:rPr>
              <w:t>I</w:t>
            </w:r>
            <w:r w:rsidRPr="00A57449">
              <w:rPr>
                <w:sz w:val="24"/>
                <w:szCs w:val="24"/>
                <w:lang w:val="lt-LT"/>
              </w:rPr>
              <w:t>švad</w:t>
            </w:r>
            <w:r>
              <w:rPr>
                <w:sz w:val="24"/>
                <w:szCs w:val="24"/>
                <w:lang w:val="lt-LT"/>
              </w:rPr>
              <w:t xml:space="preserve">a   </w:t>
            </w:r>
            <w:r w:rsidRPr="00A57449">
              <w:rPr>
                <w:sz w:val="24"/>
                <w:szCs w:val="24"/>
                <w:lang w:val="lt-LT"/>
              </w:rPr>
              <w:t xml:space="preserve"> dėl </w:t>
            </w:r>
            <w:r>
              <w:rPr>
                <w:sz w:val="24"/>
                <w:szCs w:val="24"/>
                <w:lang w:val="lt-LT"/>
              </w:rPr>
              <w:t xml:space="preserve">  </w:t>
            </w:r>
            <w:r w:rsidRPr="00A57449">
              <w:rPr>
                <w:sz w:val="24"/>
                <w:szCs w:val="24"/>
                <w:lang w:val="lt-LT"/>
              </w:rPr>
              <w:t xml:space="preserve">Kaišiadorių </w:t>
            </w:r>
            <w:r>
              <w:rPr>
                <w:sz w:val="24"/>
                <w:szCs w:val="24"/>
                <w:lang w:val="lt-LT"/>
              </w:rPr>
              <w:t xml:space="preserve">   </w:t>
            </w:r>
            <w:r w:rsidRPr="00A57449">
              <w:rPr>
                <w:sz w:val="24"/>
                <w:szCs w:val="24"/>
                <w:lang w:val="lt-LT"/>
              </w:rPr>
              <w:t xml:space="preserve">rajono </w:t>
            </w:r>
            <w:r>
              <w:rPr>
                <w:sz w:val="24"/>
                <w:szCs w:val="24"/>
                <w:lang w:val="lt-LT"/>
              </w:rPr>
              <w:t xml:space="preserve">  </w:t>
            </w:r>
            <w:r w:rsidRPr="00A57449">
              <w:rPr>
                <w:sz w:val="24"/>
                <w:szCs w:val="24"/>
                <w:lang w:val="lt-LT"/>
              </w:rPr>
              <w:t xml:space="preserve">savivaldybės </w:t>
            </w:r>
            <w:r>
              <w:rPr>
                <w:sz w:val="24"/>
                <w:szCs w:val="24"/>
                <w:lang w:val="lt-LT"/>
              </w:rPr>
              <w:t xml:space="preserve">  </w:t>
            </w:r>
            <w:r w:rsidRPr="00A57449">
              <w:rPr>
                <w:sz w:val="24"/>
                <w:szCs w:val="24"/>
                <w:lang w:val="lt-LT"/>
              </w:rPr>
              <w:t>2018 metų</w:t>
            </w:r>
            <w:r>
              <w:rPr>
                <w:sz w:val="24"/>
                <w:szCs w:val="24"/>
                <w:lang w:val="lt-LT"/>
              </w:rPr>
              <w:t xml:space="preserve">  </w:t>
            </w:r>
            <w:r w:rsidRPr="00A57449">
              <w:rPr>
                <w:sz w:val="24"/>
                <w:szCs w:val="24"/>
                <w:lang w:val="lt-LT"/>
              </w:rPr>
              <w:t xml:space="preserve"> konsoliduotų</w:t>
            </w:r>
            <w:r>
              <w:rPr>
                <w:sz w:val="24"/>
                <w:szCs w:val="24"/>
                <w:lang w:val="lt-LT"/>
              </w:rPr>
              <w:t xml:space="preserve">  </w:t>
            </w:r>
            <w:r w:rsidRPr="00A57449">
              <w:rPr>
                <w:sz w:val="24"/>
                <w:szCs w:val="24"/>
                <w:lang w:val="lt-LT"/>
              </w:rPr>
              <w:t xml:space="preserve"> </w:t>
            </w:r>
            <w:r>
              <w:rPr>
                <w:sz w:val="24"/>
                <w:szCs w:val="24"/>
                <w:lang w:val="lt-LT"/>
              </w:rPr>
              <w:t xml:space="preserve">   </w:t>
            </w:r>
            <w:r w:rsidRPr="00A57449">
              <w:rPr>
                <w:sz w:val="24"/>
                <w:szCs w:val="24"/>
                <w:lang w:val="lt-LT"/>
              </w:rPr>
              <w:t>finansinių</w:t>
            </w:r>
            <w:r>
              <w:rPr>
                <w:sz w:val="24"/>
                <w:szCs w:val="24"/>
                <w:lang w:val="lt-LT"/>
              </w:rPr>
              <w:t xml:space="preserve"> </w:t>
            </w:r>
            <w:r w:rsidRPr="00A57449">
              <w:rPr>
                <w:sz w:val="24"/>
                <w:szCs w:val="24"/>
                <w:lang w:val="lt-LT"/>
              </w:rPr>
              <w:t xml:space="preserve"> ataskaitų ir  biudžeto vykdymo ataskaitų rinkinio.</w:t>
            </w:r>
          </w:p>
          <w:p w14:paraId="56A251D3" w14:textId="77777777" w:rsidR="00B4226B" w:rsidRPr="00A57449" w:rsidRDefault="00B4226B" w:rsidP="00A932B5">
            <w:pPr>
              <w:jc w:val="both"/>
              <w:rPr>
                <w:sz w:val="24"/>
                <w:szCs w:val="24"/>
                <w:lang w:val="lt-LT"/>
              </w:rPr>
            </w:pPr>
          </w:p>
        </w:tc>
        <w:tc>
          <w:tcPr>
            <w:tcW w:w="2000" w:type="dxa"/>
            <w:vMerge w:val="restart"/>
          </w:tcPr>
          <w:p w14:paraId="2C29EC29" w14:textId="77777777" w:rsidR="00B4226B" w:rsidRPr="00A57449" w:rsidRDefault="00B4226B" w:rsidP="00A932B5">
            <w:pPr>
              <w:jc w:val="center"/>
              <w:rPr>
                <w:sz w:val="24"/>
                <w:szCs w:val="24"/>
                <w:lang w:val="lt-LT"/>
              </w:rPr>
            </w:pPr>
            <w:r>
              <w:rPr>
                <w:sz w:val="24"/>
                <w:szCs w:val="24"/>
                <w:lang w:val="lt-LT"/>
              </w:rPr>
              <w:t>Iki liepos 15 d.</w:t>
            </w:r>
          </w:p>
        </w:tc>
      </w:tr>
      <w:tr w:rsidR="00B4226B" w:rsidRPr="00A57449" w14:paraId="17C1240C" w14:textId="77777777" w:rsidTr="00A932B5">
        <w:tc>
          <w:tcPr>
            <w:tcW w:w="528" w:type="dxa"/>
            <w:vMerge/>
            <w:shd w:val="clear" w:color="auto" w:fill="auto"/>
          </w:tcPr>
          <w:p w14:paraId="76A49312" w14:textId="77777777" w:rsidR="00B4226B" w:rsidRPr="00A57449" w:rsidRDefault="00B4226B" w:rsidP="00A932B5">
            <w:pPr>
              <w:rPr>
                <w:color w:val="000000"/>
                <w:sz w:val="24"/>
                <w:szCs w:val="24"/>
              </w:rPr>
            </w:pPr>
          </w:p>
        </w:tc>
        <w:tc>
          <w:tcPr>
            <w:tcW w:w="7660" w:type="dxa"/>
            <w:shd w:val="clear" w:color="auto" w:fill="auto"/>
          </w:tcPr>
          <w:p w14:paraId="22AB091C" w14:textId="77777777" w:rsidR="00B4226B" w:rsidRPr="00A57449" w:rsidRDefault="00B4226B" w:rsidP="00A932B5">
            <w:pPr>
              <w:jc w:val="both"/>
              <w:rPr>
                <w:sz w:val="24"/>
                <w:szCs w:val="24"/>
                <w:lang w:val="lt-LT"/>
              </w:rPr>
            </w:pPr>
            <w:r w:rsidRPr="00A57449">
              <w:rPr>
                <w:sz w:val="24"/>
                <w:szCs w:val="24"/>
                <w:lang w:val="lt-LT"/>
              </w:rPr>
              <w:t xml:space="preserve">          Kiekvienais metais įvertiname, ar metiniuose konsoliduotųjų finansinių ir biudžeto vykdymo  ataskaitų rinkiniuose nėra reikšmingų iškraipymų, o lėšos ir turtas valdomi, naudojami ir disponuojama jais teisėtai. Finansinius ir teisėtumo auditus  atliekame atlikę atranką</w:t>
            </w:r>
            <w:r>
              <w:rPr>
                <w:sz w:val="24"/>
                <w:szCs w:val="24"/>
                <w:lang w:val="lt-LT"/>
              </w:rPr>
              <w:t xml:space="preserve"> ir pasirinkus </w:t>
            </w:r>
            <w:r w:rsidRPr="00A57449">
              <w:rPr>
                <w:sz w:val="24"/>
                <w:szCs w:val="24"/>
                <w:lang w:val="lt-LT"/>
              </w:rPr>
              <w:t xml:space="preserve">  subjektus</w:t>
            </w:r>
            <w:r>
              <w:rPr>
                <w:sz w:val="24"/>
                <w:szCs w:val="24"/>
                <w:lang w:val="lt-LT"/>
              </w:rPr>
              <w:t xml:space="preserve">.   </w:t>
            </w:r>
            <w:r w:rsidRPr="00A57449">
              <w:rPr>
                <w:sz w:val="24"/>
                <w:szCs w:val="24"/>
                <w:lang w:val="lt-LT"/>
              </w:rPr>
              <w:t xml:space="preserve"> </w:t>
            </w:r>
          </w:p>
          <w:p w14:paraId="16893C7C" w14:textId="77777777" w:rsidR="00B4226B" w:rsidRPr="00A57449" w:rsidRDefault="00B4226B" w:rsidP="00A932B5">
            <w:pPr>
              <w:jc w:val="both"/>
              <w:rPr>
                <w:sz w:val="24"/>
                <w:szCs w:val="24"/>
                <w:lang w:val="lt-LT"/>
              </w:rPr>
            </w:pPr>
            <w:r>
              <w:rPr>
                <w:sz w:val="24"/>
                <w:szCs w:val="24"/>
                <w:lang w:val="lt-LT"/>
              </w:rPr>
              <w:t xml:space="preserve">          </w:t>
            </w:r>
            <w:r w:rsidRPr="00A57449">
              <w:rPr>
                <w:sz w:val="24"/>
                <w:szCs w:val="24"/>
                <w:lang w:val="lt-LT"/>
              </w:rPr>
              <w:t>Vietos savivaldos įstatymas įpareigoja išvadą  pateikti  kasmet</w:t>
            </w:r>
            <w:r>
              <w:rPr>
                <w:sz w:val="24"/>
                <w:szCs w:val="24"/>
                <w:lang w:val="lt-LT"/>
              </w:rPr>
              <w:t>.</w:t>
            </w:r>
            <w:r w:rsidRPr="00A57449">
              <w:rPr>
                <w:sz w:val="24"/>
                <w:szCs w:val="24"/>
                <w:lang w:val="lt-LT"/>
              </w:rPr>
              <w:t xml:space="preserve"> </w:t>
            </w:r>
          </w:p>
          <w:p w14:paraId="29E21533" w14:textId="77777777" w:rsidR="00B4226B" w:rsidRPr="00A57449" w:rsidRDefault="00B4226B" w:rsidP="00A932B5">
            <w:pPr>
              <w:jc w:val="both"/>
              <w:rPr>
                <w:sz w:val="24"/>
                <w:szCs w:val="24"/>
                <w:lang w:val="lt-LT"/>
              </w:rPr>
            </w:pPr>
            <w:r w:rsidRPr="00A57449">
              <w:rPr>
                <w:sz w:val="24"/>
                <w:szCs w:val="24"/>
                <w:lang w:val="lt-LT"/>
              </w:rPr>
              <w:t xml:space="preserve">          Audito apimtis : Savivaldybės administracija, Savivaldybės iždas, 38 savivaldybės biudžetinės įstaigos.</w:t>
            </w:r>
          </w:p>
          <w:p w14:paraId="61540930" w14:textId="77777777" w:rsidR="00B4226B" w:rsidRPr="00A57449" w:rsidRDefault="00B4226B" w:rsidP="00A932B5">
            <w:pPr>
              <w:rPr>
                <w:color w:val="000000"/>
                <w:sz w:val="24"/>
                <w:szCs w:val="24"/>
              </w:rPr>
            </w:pPr>
          </w:p>
        </w:tc>
        <w:tc>
          <w:tcPr>
            <w:tcW w:w="2000" w:type="dxa"/>
            <w:vMerge/>
          </w:tcPr>
          <w:p w14:paraId="6FF15119" w14:textId="77777777" w:rsidR="00B4226B" w:rsidRPr="00A57449" w:rsidRDefault="00B4226B" w:rsidP="00A932B5">
            <w:pPr>
              <w:jc w:val="both"/>
              <w:rPr>
                <w:sz w:val="24"/>
                <w:szCs w:val="24"/>
                <w:lang w:val="lt-LT"/>
              </w:rPr>
            </w:pPr>
          </w:p>
        </w:tc>
      </w:tr>
      <w:tr w:rsidR="00B4226B" w:rsidRPr="00A57449" w14:paraId="4505A83F" w14:textId="77777777" w:rsidTr="00A932B5">
        <w:tc>
          <w:tcPr>
            <w:tcW w:w="528" w:type="dxa"/>
            <w:vMerge w:val="restart"/>
            <w:shd w:val="clear" w:color="auto" w:fill="auto"/>
          </w:tcPr>
          <w:p w14:paraId="67908C7D" w14:textId="77777777" w:rsidR="00B4226B" w:rsidRPr="00A57449" w:rsidRDefault="00B4226B" w:rsidP="00A932B5">
            <w:pPr>
              <w:rPr>
                <w:color w:val="000000"/>
                <w:sz w:val="24"/>
                <w:szCs w:val="24"/>
              </w:rPr>
            </w:pPr>
            <w:r>
              <w:rPr>
                <w:color w:val="000000"/>
                <w:sz w:val="24"/>
                <w:szCs w:val="24"/>
              </w:rPr>
              <w:t>2</w:t>
            </w:r>
            <w:r w:rsidRPr="00A57449">
              <w:rPr>
                <w:color w:val="000000"/>
                <w:sz w:val="24"/>
                <w:szCs w:val="24"/>
              </w:rPr>
              <w:t xml:space="preserve">. </w:t>
            </w:r>
          </w:p>
        </w:tc>
        <w:tc>
          <w:tcPr>
            <w:tcW w:w="7660" w:type="dxa"/>
            <w:shd w:val="clear" w:color="auto" w:fill="auto"/>
          </w:tcPr>
          <w:p w14:paraId="2F6A9717" w14:textId="77777777" w:rsidR="00B4226B" w:rsidRPr="00A57449" w:rsidRDefault="00B4226B" w:rsidP="00A932B5">
            <w:pPr>
              <w:rPr>
                <w:color w:val="000000"/>
                <w:sz w:val="24"/>
                <w:szCs w:val="24"/>
                <w:lang w:val="lt-LT"/>
              </w:rPr>
            </w:pPr>
            <w:r>
              <w:rPr>
                <w:color w:val="000000"/>
                <w:sz w:val="24"/>
                <w:szCs w:val="24"/>
                <w:lang w:val="lt-LT"/>
              </w:rPr>
              <w:t xml:space="preserve">          </w:t>
            </w:r>
            <w:r w:rsidRPr="00A57449">
              <w:rPr>
                <w:color w:val="000000"/>
                <w:sz w:val="24"/>
                <w:szCs w:val="24"/>
                <w:lang w:val="lt-LT"/>
              </w:rPr>
              <w:t xml:space="preserve">Savivaldybės biudžetinių įstaigų </w:t>
            </w:r>
            <w:r>
              <w:rPr>
                <w:color w:val="000000"/>
                <w:sz w:val="24"/>
                <w:szCs w:val="24"/>
                <w:lang w:val="lt-LT"/>
              </w:rPr>
              <w:t xml:space="preserve">naujos </w:t>
            </w:r>
            <w:r w:rsidRPr="00A57449">
              <w:rPr>
                <w:color w:val="000000"/>
                <w:sz w:val="24"/>
                <w:szCs w:val="24"/>
                <w:lang w:val="lt-LT"/>
              </w:rPr>
              <w:t xml:space="preserve"> darbo apmokėjimo </w:t>
            </w:r>
            <w:r>
              <w:rPr>
                <w:color w:val="000000"/>
                <w:sz w:val="24"/>
                <w:szCs w:val="24"/>
                <w:lang w:val="lt-LT"/>
              </w:rPr>
              <w:t xml:space="preserve">sistemos </w:t>
            </w:r>
            <w:r w:rsidRPr="00A57449">
              <w:rPr>
                <w:color w:val="000000"/>
                <w:sz w:val="24"/>
                <w:szCs w:val="24"/>
                <w:lang w:val="lt-LT"/>
              </w:rPr>
              <w:t>taikymas.</w:t>
            </w:r>
          </w:p>
          <w:p w14:paraId="2733149D" w14:textId="77777777" w:rsidR="00B4226B" w:rsidRPr="00A57449" w:rsidRDefault="00B4226B" w:rsidP="00A932B5">
            <w:pPr>
              <w:rPr>
                <w:color w:val="000000"/>
                <w:sz w:val="24"/>
                <w:szCs w:val="24"/>
                <w:lang w:val="lt-LT"/>
              </w:rPr>
            </w:pPr>
          </w:p>
        </w:tc>
        <w:tc>
          <w:tcPr>
            <w:tcW w:w="2000" w:type="dxa"/>
            <w:vMerge w:val="restart"/>
          </w:tcPr>
          <w:p w14:paraId="6DAA9AE8" w14:textId="77777777" w:rsidR="00B4226B" w:rsidRDefault="00B4226B" w:rsidP="00A932B5">
            <w:pPr>
              <w:jc w:val="center"/>
              <w:rPr>
                <w:color w:val="000000"/>
                <w:sz w:val="24"/>
                <w:szCs w:val="24"/>
                <w:lang w:val="lt-LT"/>
              </w:rPr>
            </w:pPr>
            <w:r>
              <w:rPr>
                <w:color w:val="000000"/>
                <w:sz w:val="24"/>
                <w:szCs w:val="24"/>
                <w:lang w:val="lt-LT"/>
              </w:rPr>
              <w:t>I, II pusmetis</w:t>
            </w:r>
          </w:p>
        </w:tc>
      </w:tr>
      <w:tr w:rsidR="00B4226B" w:rsidRPr="00A57449" w14:paraId="44AF04D1" w14:textId="77777777" w:rsidTr="00A932B5">
        <w:tc>
          <w:tcPr>
            <w:tcW w:w="528" w:type="dxa"/>
            <w:vMerge/>
            <w:shd w:val="clear" w:color="auto" w:fill="auto"/>
          </w:tcPr>
          <w:p w14:paraId="05145D5F" w14:textId="77777777" w:rsidR="00B4226B" w:rsidRPr="00A57449" w:rsidRDefault="00B4226B" w:rsidP="00A932B5">
            <w:pPr>
              <w:rPr>
                <w:color w:val="000000"/>
                <w:sz w:val="24"/>
                <w:szCs w:val="24"/>
              </w:rPr>
            </w:pPr>
          </w:p>
        </w:tc>
        <w:tc>
          <w:tcPr>
            <w:tcW w:w="7660" w:type="dxa"/>
            <w:shd w:val="clear" w:color="auto" w:fill="auto"/>
          </w:tcPr>
          <w:p w14:paraId="794EA8E0" w14:textId="77777777" w:rsidR="00B4226B" w:rsidRDefault="00B4226B" w:rsidP="00A932B5">
            <w:pPr>
              <w:jc w:val="both"/>
              <w:rPr>
                <w:color w:val="000000"/>
                <w:sz w:val="24"/>
                <w:szCs w:val="24"/>
                <w:lang w:val="lt-LT"/>
              </w:rPr>
            </w:pPr>
            <w:r>
              <w:rPr>
                <w:color w:val="000000"/>
                <w:sz w:val="24"/>
                <w:szCs w:val="24"/>
                <w:lang w:val="lt-LT"/>
              </w:rPr>
              <w:t xml:space="preserve">          </w:t>
            </w:r>
            <w:r w:rsidRPr="00A57449">
              <w:rPr>
                <w:color w:val="000000"/>
                <w:sz w:val="24"/>
                <w:szCs w:val="24"/>
                <w:lang w:val="lt-LT"/>
              </w:rPr>
              <w:t>Nuo 2017 metų įsigalioj</w:t>
            </w:r>
            <w:r>
              <w:rPr>
                <w:color w:val="000000"/>
                <w:sz w:val="24"/>
                <w:szCs w:val="24"/>
                <w:lang w:val="lt-LT"/>
              </w:rPr>
              <w:t>o</w:t>
            </w:r>
            <w:r w:rsidRPr="00A57449">
              <w:rPr>
                <w:color w:val="000000"/>
                <w:sz w:val="24"/>
                <w:szCs w:val="24"/>
                <w:lang w:val="lt-LT"/>
              </w:rPr>
              <w:t xml:space="preserve"> nauja</w:t>
            </w:r>
            <w:r>
              <w:rPr>
                <w:color w:val="000000"/>
                <w:sz w:val="24"/>
                <w:szCs w:val="24"/>
                <w:lang w:val="lt-LT"/>
              </w:rPr>
              <w:t>s</w:t>
            </w:r>
            <w:r w:rsidRPr="00A57449">
              <w:rPr>
                <w:color w:val="000000"/>
                <w:sz w:val="24"/>
                <w:szCs w:val="24"/>
                <w:lang w:val="lt-LT"/>
              </w:rPr>
              <w:t xml:space="preserve"> Valstybės ir savivaldybės įstaigų darbuotojų darbo apmokėjimo įstatymas. Tikslinga įvertinti, </w:t>
            </w:r>
            <w:r>
              <w:rPr>
                <w:color w:val="000000"/>
                <w:sz w:val="24"/>
                <w:szCs w:val="24"/>
                <w:lang w:val="lt-LT"/>
              </w:rPr>
              <w:t>ar</w:t>
            </w:r>
            <w:r w:rsidRPr="00A57449">
              <w:rPr>
                <w:color w:val="000000"/>
                <w:sz w:val="24"/>
                <w:szCs w:val="24"/>
                <w:lang w:val="lt-LT"/>
              </w:rPr>
              <w:t xml:space="preserve"> įstaigos </w:t>
            </w:r>
            <w:r>
              <w:rPr>
                <w:color w:val="000000"/>
                <w:sz w:val="24"/>
                <w:szCs w:val="24"/>
                <w:lang w:val="lt-LT"/>
              </w:rPr>
              <w:t xml:space="preserve">teisingai </w:t>
            </w:r>
            <w:r w:rsidRPr="00A57449">
              <w:rPr>
                <w:color w:val="000000"/>
                <w:sz w:val="24"/>
                <w:szCs w:val="24"/>
                <w:lang w:val="lt-LT"/>
              </w:rPr>
              <w:t xml:space="preserve"> taikė pasikeitusią   darbo apmokėjimo sistemą  ir </w:t>
            </w:r>
            <w:r>
              <w:rPr>
                <w:color w:val="000000"/>
                <w:sz w:val="24"/>
                <w:szCs w:val="24"/>
                <w:lang w:val="lt-LT"/>
              </w:rPr>
              <w:t>apskaičiavo</w:t>
            </w:r>
            <w:r w:rsidRPr="00A57449">
              <w:rPr>
                <w:color w:val="000000"/>
                <w:sz w:val="24"/>
                <w:szCs w:val="24"/>
                <w:lang w:val="lt-LT"/>
              </w:rPr>
              <w:t xml:space="preserve"> darbo užmokestį</w:t>
            </w:r>
            <w:r>
              <w:rPr>
                <w:color w:val="000000"/>
                <w:sz w:val="24"/>
                <w:szCs w:val="24"/>
                <w:lang w:val="lt-LT"/>
              </w:rPr>
              <w:t xml:space="preserve"> darbuotojams. </w:t>
            </w:r>
          </w:p>
          <w:p w14:paraId="59B18F63" w14:textId="77777777" w:rsidR="00B4226B" w:rsidRPr="00A57449" w:rsidRDefault="00B4226B" w:rsidP="00A932B5">
            <w:pPr>
              <w:jc w:val="both"/>
              <w:rPr>
                <w:color w:val="000000"/>
                <w:sz w:val="24"/>
                <w:szCs w:val="24"/>
                <w:lang w:val="lt-LT"/>
              </w:rPr>
            </w:pPr>
            <w:r>
              <w:rPr>
                <w:color w:val="000000"/>
                <w:sz w:val="24"/>
                <w:szCs w:val="24"/>
                <w:lang w:val="lt-LT"/>
              </w:rPr>
              <w:t xml:space="preserve">          Auditas bus atliekamas pasirinktose biudžetinėse įstaigose.</w:t>
            </w:r>
          </w:p>
        </w:tc>
        <w:tc>
          <w:tcPr>
            <w:tcW w:w="2000" w:type="dxa"/>
            <w:vMerge/>
          </w:tcPr>
          <w:p w14:paraId="0BD6A61B" w14:textId="77777777" w:rsidR="00B4226B" w:rsidRDefault="00B4226B" w:rsidP="00A932B5">
            <w:pPr>
              <w:jc w:val="both"/>
              <w:rPr>
                <w:color w:val="000000"/>
                <w:sz w:val="24"/>
                <w:szCs w:val="24"/>
                <w:lang w:val="lt-LT"/>
              </w:rPr>
            </w:pPr>
          </w:p>
        </w:tc>
      </w:tr>
      <w:tr w:rsidR="00B4226B" w:rsidRPr="00A57449" w14:paraId="1CA75529" w14:textId="77777777" w:rsidTr="00A932B5">
        <w:tc>
          <w:tcPr>
            <w:tcW w:w="528" w:type="dxa"/>
            <w:vMerge w:val="restart"/>
            <w:shd w:val="clear" w:color="auto" w:fill="auto"/>
          </w:tcPr>
          <w:p w14:paraId="0958A9CF" w14:textId="77777777" w:rsidR="00B4226B" w:rsidRDefault="00B4226B" w:rsidP="00A932B5">
            <w:pPr>
              <w:rPr>
                <w:color w:val="000000"/>
                <w:sz w:val="24"/>
                <w:szCs w:val="24"/>
              </w:rPr>
            </w:pPr>
            <w:r>
              <w:rPr>
                <w:color w:val="000000"/>
                <w:sz w:val="24"/>
                <w:szCs w:val="24"/>
              </w:rPr>
              <w:t>3.</w:t>
            </w:r>
          </w:p>
        </w:tc>
        <w:tc>
          <w:tcPr>
            <w:tcW w:w="7660" w:type="dxa"/>
            <w:shd w:val="clear" w:color="auto" w:fill="auto"/>
          </w:tcPr>
          <w:p w14:paraId="2977228C" w14:textId="77777777" w:rsidR="00B4226B" w:rsidRDefault="00B4226B" w:rsidP="00A932B5">
            <w:pPr>
              <w:rPr>
                <w:color w:val="000000"/>
                <w:sz w:val="24"/>
                <w:szCs w:val="24"/>
                <w:lang w:val="lt-LT"/>
              </w:rPr>
            </w:pPr>
            <w:r>
              <w:rPr>
                <w:color w:val="000000"/>
                <w:sz w:val="24"/>
                <w:szCs w:val="24"/>
              </w:rPr>
              <w:t xml:space="preserve">          </w:t>
            </w:r>
            <w:r w:rsidRPr="00E867A7">
              <w:rPr>
                <w:color w:val="000000"/>
                <w:sz w:val="24"/>
                <w:szCs w:val="24"/>
                <w:lang w:val="lt-LT"/>
              </w:rPr>
              <w:t xml:space="preserve">Investicinių projektų savivaldybėje </w:t>
            </w:r>
            <w:r>
              <w:rPr>
                <w:color w:val="000000"/>
                <w:sz w:val="24"/>
                <w:szCs w:val="24"/>
                <w:lang w:val="lt-LT"/>
              </w:rPr>
              <w:t>įgyvendinimas</w:t>
            </w:r>
          </w:p>
          <w:p w14:paraId="5A751F1D" w14:textId="77777777" w:rsidR="00B4226B" w:rsidRPr="00E867A7" w:rsidRDefault="00B4226B" w:rsidP="00A932B5">
            <w:pPr>
              <w:rPr>
                <w:color w:val="000000"/>
                <w:sz w:val="24"/>
                <w:szCs w:val="24"/>
                <w:lang w:val="lt-LT"/>
              </w:rPr>
            </w:pPr>
          </w:p>
        </w:tc>
        <w:tc>
          <w:tcPr>
            <w:tcW w:w="2000" w:type="dxa"/>
            <w:vMerge w:val="restart"/>
          </w:tcPr>
          <w:p w14:paraId="5A377599" w14:textId="77777777" w:rsidR="00B4226B" w:rsidRPr="00E867A7" w:rsidRDefault="00B4226B" w:rsidP="00A932B5">
            <w:pPr>
              <w:jc w:val="center"/>
              <w:rPr>
                <w:color w:val="000000"/>
                <w:sz w:val="24"/>
                <w:szCs w:val="24"/>
                <w:lang w:val="lt-LT"/>
              </w:rPr>
            </w:pPr>
            <w:r w:rsidRPr="00E867A7">
              <w:rPr>
                <w:color w:val="000000"/>
                <w:sz w:val="24"/>
                <w:szCs w:val="24"/>
                <w:lang w:val="lt-LT"/>
              </w:rPr>
              <w:t xml:space="preserve">I pusmetis </w:t>
            </w:r>
          </w:p>
        </w:tc>
      </w:tr>
      <w:tr w:rsidR="00B4226B" w:rsidRPr="00A57449" w14:paraId="1D58E79A" w14:textId="77777777" w:rsidTr="00A932B5">
        <w:tc>
          <w:tcPr>
            <w:tcW w:w="528" w:type="dxa"/>
            <w:vMerge/>
            <w:shd w:val="clear" w:color="auto" w:fill="auto"/>
          </w:tcPr>
          <w:p w14:paraId="5A7AD2EB" w14:textId="77777777" w:rsidR="00B4226B" w:rsidRDefault="00B4226B" w:rsidP="00A932B5">
            <w:pPr>
              <w:rPr>
                <w:color w:val="000000"/>
                <w:sz w:val="24"/>
                <w:szCs w:val="24"/>
              </w:rPr>
            </w:pPr>
          </w:p>
        </w:tc>
        <w:tc>
          <w:tcPr>
            <w:tcW w:w="7660" w:type="dxa"/>
            <w:shd w:val="clear" w:color="auto" w:fill="auto"/>
          </w:tcPr>
          <w:p w14:paraId="34FA7716" w14:textId="77777777" w:rsidR="00B4226B" w:rsidRPr="00E867A7" w:rsidRDefault="00B4226B" w:rsidP="00A932B5">
            <w:pPr>
              <w:jc w:val="both"/>
              <w:rPr>
                <w:color w:val="000000"/>
                <w:sz w:val="24"/>
                <w:szCs w:val="24"/>
                <w:lang w:val="lt-LT"/>
              </w:rPr>
            </w:pPr>
            <w:r>
              <w:rPr>
                <w:color w:val="000000"/>
                <w:sz w:val="24"/>
                <w:szCs w:val="24"/>
              </w:rPr>
              <w:t xml:space="preserve">          </w:t>
            </w:r>
            <w:r w:rsidRPr="00E867A7">
              <w:rPr>
                <w:color w:val="000000"/>
                <w:sz w:val="24"/>
                <w:szCs w:val="24"/>
                <w:lang w:val="lt-LT"/>
              </w:rPr>
              <w:t>Investiciniai projektai bus pasirinkti</w:t>
            </w:r>
            <w:r>
              <w:rPr>
                <w:color w:val="000000"/>
                <w:sz w:val="24"/>
                <w:szCs w:val="24"/>
                <w:lang w:val="lt-LT"/>
              </w:rPr>
              <w:t>,  atsižvelgiant į galutinius rezultatus, planuotas lėšas ir atliktus darbus 2018 metais.</w:t>
            </w:r>
          </w:p>
        </w:tc>
        <w:tc>
          <w:tcPr>
            <w:tcW w:w="2000" w:type="dxa"/>
            <w:vMerge/>
          </w:tcPr>
          <w:p w14:paraId="07B7482F" w14:textId="77777777" w:rsidR="00B4226B" w:rsidRPr="00E867A7" w:rsidRDefault="00B4226B" w:rsidP="00A932B5">
            <w:pPr>
              <w:jc w:val="center"/>
              <w:rPr>
                <w:color w:val="000000"/>
                <w:sz w:val="24"/>
                <w:szCs w:val="24"/>
                <w:lang w:val="lt-LT"/>
              </w:rPr>
            </w:pPr>
          </w:p>
        </w:tc>
      </w:tr>
      <w:tr w:rsidR="00B4226B" w:rsidRPr="00A57449" w14:paraId="36AD041F" w14:textId="77777777" w:rsidTr="00A932B5">
        <w:tc>
          <w:tcPr>
            <w:tcW w:w="528" w:type="dxa"/>
            <w:vMerge w:val="restart"/>
            <w:shd w:val="clear" w:color="auto" w:fill="auto"/>
          </w:tcPr>
          <w:p w14:paraId="76B9BF15" w14:textId="77777777" w:rsidR="00B4226B" w:rsidRPr="00A57449" w:rsidRDefault="00B4226B" w:rsidP="00A932B5">
            <w:pPr>
              <w:rPr>
                <w:color w:val="000000"/>
                <w:sz w:val="24"/>
                <w:szCs w:val="24"/>
              </w:rPr>
            </w:pPr>
            <w:r>
              <w:rPr>
                <w:color w:val="000000"/>
                <w:sz w:val="24"/>
                <w:szCs w:val="24"/>
              </w:rPr>
              <w:t xml:space="preserve">4. </w:t>
            </w:r>
          </w:p>
        </w:tc>
        <w:tc>
          <w:tcPr>
            <w:tcW w:w="7660" w:type="dxa"/>
            <w:shd w:val="clear" w:color="auto" w:fill="auto"/>
          </w:tcPr>
          <w:p w14:paraId="4EE4750D" w14:textId="77777777" w:rsidR="00B4226B" w:rsidRDefault="00B4226B" w:rsidP="00A932B5">
            <w:pPr>
              <w:rPr>
                <w:color w:val="000000"/>
                <w:sz w:val="24"/>
                <w:szCs w:val="24"/>
                <w:lang w:val="lt-LT"/>
              </w:rPr>
            </w:pPr>
            <w:r>
              <w:rPr>
                <w:color w:val="000000"/>
                <w:sz w:val="24"/>
                <w:szCs w:val="24"/>
              </w:rPr>
              <w:t xml:space="preserve">          Savivaldybės </w:t>
            </w:r>
            <w:r w:rsidRPr="00E742A0">
              <w:rPr>
                <w:color w:val="000000"/>
                <w:sz w:val="24"/>
                <w:szCs w:val="24"/>
                <w:lang w:val="lt-LT"/>
              </w:rPr>
              <w:t xml:space="preserve">biudžetinių įstaigų </w:t>
            </w:r>
            <w:r>
              <w:rPr>
                <w:color w:val="000000"/>
                <w:sz w:val="24"/>
                <w:szCs w:val="24"/>
                <w:lang w:val="lt-LT"/>
              </w:rPr>
              <w:t xml:space="preserve"> </w:t>
            </w:r>
            <w:r w:rsidRPr="00E742A0">
              <w:rPr>
                <w:color w:val="000000"/>
                <w:sz w:val="24"/>
                <w:szCs w:val="24"/>
                <w:lang w:val="lt-LT"/>
              </w:rPr>
              <w:t xml:space="preserve"> finansinė veikla.</w:t>
            </w:r>
          </w:p>
          <w:p w14:paraId="2D6B4745" w14:textId="77777777" w:rsidR="00B4226B" w:rsidRPr="00A57449" w:rsidRDefault="00B4226B" w:rsidP="00A932B5">
            <w:pPr>
              <w:rPr>
                <w:color w:val="000000"/>
                <w:sz w:val="24"/>
                <w:szCs w:val="24"/>
              </w:rPr>
            </w:pPr>
          </w:p>
        </w:tc>
        <w:tc>
          <w:tcPr>
            <w:tcW w:w="2000" w:type="dxa"/>
            <w:vMerge w:val="restart"/>
          </w:tcPr>
          <w:p w14:paraId="0799E9DA" w14:textId="77777777" w:rsidR="00B4226B" w:rsidRPr="00E867A7" w:rsidRDefault="00B4226B" w:rsidP="00A932B5">
            <w:pPr>
              <w:jc w:val="center"/>
              <w:rPr>
                <w:color w:val="000000"/>
                <w:sz w:val="24"/>
                <w:szCs w:val="24"/>
                <w:lang w:val="lt-LT"/>
              </w:rPr>
            </w:pPr>
            <w:r w:rsidRPr="00E867A7">
              <w:rPr>
                <w:color w:val="000000"/>
                <w:sz w:val="24"/>
                <w:szCs w:val="24"/>
                <w:lang w:val="lt-LT"/>
              </w:rPr>
              <w:t>II pusmetis</w:t>
            </w:r>
          </w:p>
        </w:tc>
      </w:tr>
      <w:tr w:rsidR="00B4226B" w:rsidRPr="00A57449" w14:paraId="78EC9688" w14:textId="77777777" w:rsidTr="00A932B5">
        <w:tc>
          <w:tcPr>
            <w:tcW w:w="528" w:type="dxa"/>
            <w:vMerge/>
            <w:shd w:val="clear" w:color="auto" w:fill="auto"/>
          </w:tcPr>
          <w:p w14:paraId="2683EE62" w14:textId="77777777" w:rsidR="00B4226B" w:rsidRPr="00A57449" w:rsidRDefault="00B4226B" w:rsidP="00A932B5">
            <w:pPr>
              <w:rPr>
                <w:color w:val="000000"/>
                <w:sz w:val="24"/>
                <w:szCs w:val="24"/>
              </w:rPr>
            </w:pPr>
          </w:p>
        </w:tc>
        <w:tc>
          <w:tcPr>
            <w:tcW w:w="7660" w:type="dxa"/>
            <w:shd w:val="clear" w:color="auto" w:fill="auto"/>
          </w:tcPr>
          <w:p w14:paraId="2E5CE644" w14:textId="77777777" w:rsidR="00B4226B" w:rsidRDefault="00B4226B" w:rsidP="00A932B5">
            <w:pPr>
              <w:jc w:val="both"/>
              <w:rPr>
                <w:color w:val="000000"/>
                <w:sz w:val="24"/>
                <w:szCs w:val="24"/>
                <w:lang w:val="lt-LT"/>
              </w:rPr>
            </w:pPr>
            <w:r>
              <w:rPr>
                <w:color w:val="000000"/>
                <w:sz w:val="24"/>
                <w:szCs w:val="24"/>
              </w:rPr>
              <w:t xml:space="preserve">          </w:t>
            </w:r>
            <w:r w:rsidRPr="006A68E5">
              <w:rPr>
                <w:color w:val="000000"/>
                <w:sz w:val="24"/>
                <w:szCs w:val="24"/>
                <w:lang w:val="lt-LT"/>
              </w:rPr>
              <w:t>Planuojame pasirinkti įstaigas, kuriose finansinė veikla buvo audituota daugiau</w:t>
            </w:r>
            <w:r>
              <w:rPr>
                <w:color w:val="000000"/>
                <w:sz w:val="24"/>
                <w:szCs w:val="24"/>
                <w:lang w:val="lt-LT"/>
              </w:rPr>
              <w:t xml:space="preserve"> </w:t>
            </w:r>
            <w:r w:rsidRPr="006A68E5">
              <w:rPr>
                <w:color w:val="000000"/>
                <w:sz w:val="24"/>
                <w:szCs w:val="24"/>
                <w:lang w:val="lt-LT"/>
              </w:rPr>
              <w:t xml:space="preserve"> kaip prieš 5 metus</w:t>
            </w:r>
            <w:r>
              <w:rPr>
                <w:color w:val="000000"/>
                <w:sz w:val="24"/>
                <w:szCs w:val="24"/>
                <w:lang w:val="lt-LT"/>
              </w:rPr>
              <w:t xml:space="preserve"> ir įstaigas, dėl kurių veiklos buvo skundų.  Praktika parodė, kad įstaigoms reikalinga reguliari veiklos peržiūra. Mes siekiame, kad   audito metu nustatytos klaidos, neatitikimai,  bendradarbiaujant su viešojo sektoriaus subjektais   būtų ištaisyti,  veiklos reglamentavimo trūkumai būtų pašalinti, lėšų ir turto valdymas, naudojimas ir disponavimas atitiktų teisės aktų keliamus reikalavimus. </w:t>
            </w:r>
          </w:p>
          <w:p w14:paraId="3CFA8F2D" w14:textId="77777777" w:rsidR="00B4226B" w:rsidRDefault="00B4226B" w:rsidP="00A932B5">
            <w:pPr>
              <w:jc w:val="both"/>
              <w:rPr>
                <w:color w:val="000000"/>
                <w:sz w:val="24"/>
                <w:szCs w:val="24"/>
                <w:lang w:val="lt-LT"/>
              </w:rPr>
            </w:pPr>
            <w:r>
              <w:rPr>
                <w:color w:val="000000"/>
                <w:sz w:val="24"/>
                <w:szCs w:val="24"/>
                <w:lang w:val="lt-LT"/>
              </w:rPr>
              <w:t xml:space="preserve">          Audito subjektai:   Rumšiškių kultūros centras;</w:t>
            </w:r>
          </w:p>
          <w:p w14:paraId="73538E55" w14:textId="77777777" w:rsidR="00B4226B" w:rsidRDefault="00B4226B" w:rsidP="00A932B5">
            <w:pPr>
              <w:jc w:val="both"/>
              <w:rPr>
                <w:color w:val="000000"/>
                <w:sz w:val="24"/>
                <w:szCs w:val="24"/>
                <w:lang w:val="lt-LT"/>
              </w:rPr>
            </w:pPr>
            <w:r>
              <w:rPr>
                <w:color w:val="000000"/>
                <w:sz w:val="24"/>
                <w:szCs w:val="24"/>
                <w:lang w:val="lt-LT"/>
              </w:rPr>
              <w:lastRenderedPageBreak/>
              <w:t xml:space="preserve">                                         Kaišiadorių rajono savivaldybės viešoji biblioteka;</w:t>
            </w:r>
          </w:p>
          <w:p w14:paraId="67883CAD" w14:textId="77777777" w:rsidR="00B4226B" w:rsidRDefault="00B4226B" w:rsidP="00A932B5">
            <w:pPr>
              <w:jc w:val="both"/>
              <w:rPr>
                <w:color w:val="000000"/>
                <w:sz w:val="24"/>
                <w:szCs w:val="24"/>
                <w:lang w:val="lt-LT"/>
              </w:rPr>
            </w:pPr>
            <w:r>
              <w:rPr>
                <w:color w:val="000000"/>
                <w:sz w:val="24"/>
                <w:szCs w:val="24"/>
                <w:lang w:val="lt-LT"/>
              </w:rPr>
              <w:t xml:space="preserve">                                         Kaišiadorių lopšelis-darželis ,,Žvaigždutė“ </w:t>
            </w:r>
          </w:p>
          <w:p w14:paraId="708CA4F7" w14:textId="77777777" w:rsidR="00B4226B" w:rsidRPr="006A68E5" w:rsidRDefault="00B4226B" w:rsidP="00A932B5">
            <w:pPr>
              <w:jc w:val="both"/>
              <w:rPr>
                <w:color w:val="000000"/>
                <w:sz w:val="24"/>
                <w:szCs w:val="24"/>
                <w:lang w:val="lt-LT"/>
              </w:rPr>
            </w:pPr>
          </w:p>
        </w:tc>
        <w:tc>
          <w:tcPr>
            <w:tcW w:w="2000" w:type="dxa"/>
            <w:vMerge/>
          </w:tcPr>
          <w:p w14:paraId="5EA19C0D" w14:textId="77777777" w:rsidR="00B4226B" w:rsidRDefault="00B4226B" w:rsidP="00A932B5">
            <w:pPr>
              <w:jc w:val="both"/>
              <w:rPr>
                <w:color w:val="000000"/>
                <w:sz w:val="24"/>
                <w:szCs w:val="24"/>
              </w:rPr>
            </w:pPr>
          </w:p>
        </w:tc>
      </w:tr>
    </w:tbl>
    <w:p w14:paraId="2757CA41" w14:textId="77777777" w:rsidR="00B4226B" w:rsidRDefault="00B4226B" w:rsidP="00B4226B"/>
    <w:p w14:paraId="6DF6FA59" w14:textId="77777777" w:rsidR="00B4226B" w:rsidRDefault="00B4226B" w:rsidP="00B4226B"/>
    <w:p w14:paraId="36EF2743" w14:textId="77777777" w:rsidR="00B4226B" w:rsidRPr="00A57449" w:rsidRDefault="00B4226B" w:rsidP="00B4226B">
      <w:pPr>
        <w:numPr>
          <w:ilvl w:val="0"/>
          <w:numId w:val="2"/>
        </w:numPr>
        <w:rPr>
          <w:color w:val="2F5496"/>
          <w:sz w:val="24"/>
          <w:szCs w:val="24"/>
        </w:rPr>
      </w:pPr>
      <w:r>
        <w:rPr>
          <w:color w:val="2F5496"/>
          <w:sz w:val="24"/>
          <w:szCs w:val="24"/>
        </w:rPr>
        <w:t>VEIKLOS</w:t>
      </w:r>
      <w:r w:rsidRPr="00A57449">
        <w:rPr>
          <w:color w:val="2F5496"/>
          <w:sz w:val="24"/>
          <w:szCs w:val="24"/>
        </w:rPr>
        <w:t xml:space="preserve"> AUDITAI</w:t>
      </w:r>
      <w:r>
        <w:rPr>
          <w:color w:val="2F5496"/>
          <w:sz w:val="24"/>
          <w:szCs w:val="24"/>
        </w:rPr>
        <w:t xml:space="preserve">. KONTROLĖS FUNKCIJOS </w:t>
      </w:r>
    </w:p>
    <w:p w14:paraId="0FC203CB" w14:textId="77777777" w:rsidR="00B4226B" w:rsidRPr="00A57449" w:rsidRDefault="00B4226B" w:rsidP="00B4226B">
      <w:pPr>
        <w:rPr>
          <w:color w:val="2F5496"/>
          <w:sz w:val="24"/>
          <w:szCs w:val="24"/>
        </w:rPr>
      </w:pPr>
    </w:p>
    <w:p w14:paraId="21183D0B" w14:textId="77777777" w:rsidR="00B4226B" w:rsidRDefault="00B4226B" w:rsidP="00B4226B">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7139"/>
        <w:gridCol w:w="1933"/>
      </w:tblGrid>
      <w:tr w:rsidR="00B4226B" w:rsidRPr="00A57449" w14:paraId="79B610E2" w14:textId="77777777" w:rsidTr="00A932B5">
        <w:tc>
          <w:tcPr>
            <w:tcW w:w="556" w:type="dxa"/>
            <w:shd w:val="clear" w:color="auto" w:fill="auto"/>
          </w:tcPr>
          <w:p w14:paraId="39EA8E9C" w14:textId="77777777" w:rsidR="00B4226B" w:rsidRPr="008E7A84" w:rsidRDefault="00B4226B" w:rsidP="00A932B5">
            <w:pPr>
              <w:jc w:val="center"/>
              <w:rPr>
                <w:color w:val="000000"/>
                <w:sz w:val="24"/>
                <w:szCs w:val="24"/>
              </w:rPr>
            </w:pPr>
            <w:proofErr w:type="spellStart"/>
            <w:r w:rsidRPr="008E7A84">
              <w:rPr>
                <w:color w:val="000000"/>
                <w:sz w:val="24"/>
                <w:szCs w:val="24"/>
              </w:rPr>
              <w:t>Eil</w:t>
            </w:r>
            <w:proofErr w:type="spellEnd"/>
            <w:r w:rsidRPr="008E7A84">
              <w:rPr>
                <w:color w:val="000000"/>
                <w:sz w:val="24"/>
                <w:szCs w:val="24"/>
              </w:rPr>
              <w:t>. Nr.</w:t>
            </w:r>
          </w:p>
        </w:tc>
        <w:tc>
          <w:tcPr>
            <w:tcW w:w="7635" w:type="dxa"/>
            <w:shd w:val="clear" w:color="auto" w:fill="auto"/>
          </w:tcPr>
          <w:p w14:paraId="766DD8AD" w14:textId="77777777" w:rsidR="00B4226B" w:rsidRPr="008E7A84" w:rsidRDefault="00B4226B" w:rsidP="00A932B5">
            <w:pPr>
              <w:jc w:val="center"/>
              <w:rPr>
                <w:sz w:val="24"/>
                <w:szCs w:val="24"/>
                <w:lang w:val="lt-LT"/>
              </w:rPr>
            </w:pPr>
            <w:r w:rsidRPr="008E7A84">
              <w:rPr>
                <w:sz w:val="24"/>
                <w:szCs w:val="24"/>
                <w:lang w:val="lt-LT"/>
              </w:rPr>
              <w:t>Pavadinimas</w:t>
            </w:r>
          </w:p>
        </w:tc>
        <w:tc>
          <w:tcPr>
            <w:tcW w:w="1997" w:type="dxa"/>
          </w:tcPr>
          <w:p w14:paraId="6F1E552A" w14:textId="77777777" w:rsidR="00B4226B" w:rsidRPr="008E7A84" w:rsidRDefault="00B4226B" w:rsidP="00A932B5">
            <w:pPr>
              <w:jc w:val="center"/>
              <w:rPr>
                <w:sz w:val="24"/>
                <w:szCs w:val="24"/>
                <w:lang w:val="lt-LT"/>
              </w:rPr>
            </w:pPr>
            <w:r w:rsidRPr="008E7A84">
              <w:rPr>
                <w:sz w:val="24"/>
                <w:szCs w:val="24"/>
                <w:lang w:val="lt-LT"/>
              </w:rPr>
              <w:t>Vykdymo terminas</w:t>
            </w:r>
          </w:p>
        </w:tc>
      </w:tr>
      <w:tr w:rsidR="00B4226B" w:rsidRPr="00A57449" w14:paraId="78CAC03F" w14:textId="77777777" w:rsidTr="00A932B5">
        <w:tc>
          <w:tcPr>
            <w:tcW w:w="556" w:type="dxa"/>
            <w:vMerge w:val="restart"/>
            <w:shd w:val="clear" w:color="auto" w:fill="auto"/>
          </w:tcPr>
          <w:p w14:paraId="58B2AC34" w14:textId="77777777" w:rsidR="00B4226B" w:rsidRPr="008E7A84" w:rsidRDefault="00B4226B" w:rsidP="00A932B5">
            <w:pPr>
              <w:rPr>
                <w:color w:val="000000"/>
                <w:sz w:val="24"/>
                <w:szCs w:val="24"/>
              </w:rPr>
            </w:pPr>
            <w:r w:rsidRPr="008E7A84">
              <w:rPr>
                <w:color w:val="000000"/>
                <w:sz w:val="24"/>
                <w:szCs w:val="24"/>
              </w:rPr>
              <w:t>1.</w:t>
            </w:r>
          </w:p>
        </w:tc>
        <w:tc>
          <w:tcPr>
            <w:tcW w:w="7635" w:type="dxa"/>
            <w:shd w:val="clear" w:color="auto" w:fill="auto"/>
          </w:tcPr>
          <w:p w14:paraId="59853BB4" w14:textId="77777777" w:rsidR="00B4226B" w:rsidRPr="008E7A84" w:rsidRDefault="00B4226B" w:rsidP="00A932B5">
            <w:pPr>
              <w:jc w:val="both"/>
              <w:rPr>
                <w:sz w:val="24"/>
                <w:szCs w:val="24"/>
                <w:lang w:val="lt-LT"/>
              </w:rPr>
            </w:pPr>
            <w:r w:rsidRPr="008E7A84">
              <w:rPr>
                <w:sz w:val="24"/>
                <w:szCs w:val="24"/>
                <w:lang w:val="lt-LT"/>
              </w:rPr>
              <w:t xml:space="preserve">          Savivaldybės turto </w:t>
            </w:r>
            <w:r>
              <w:rPr>
                <w:sz w:val="24"/>
                <w:szCs w:val="24"/>
                <w:lang w:val="lt-LT"/>
              </w:rPr>
              <w:t xml:space="preserve">efektyvus </w:t>
            </w:r>
            <w:r w:rsidRPr="008E7A84">
              <w:rPr>
                <w:sz w:val="24"/>
                <w:szCs w:val="24"/>
                <w:lang w:val="lt-LT"/>
              </w:rPr>
              <w:t>naudojimas</w:t>
            </w:r>
          </w:p>
          <w:p w14:paraId="6750490C" w14:textId="77777777" w:rsidR="00B4226B" w:rsidRPr="008E7A84" w:rsidRDefault="00B4226B" w:rsidP="00A932B5">
            <w:pPr>
              <w:jc w:val="both"/>
              <w:rPr>
                <w:sz w:val="24"/>
                <w:szCs w:val="24"/>
                <w:lang w:val="lt-LT"/>
              </w:rPr>
            </w:pPr>
          </w:p>
        </w:tc>
        <w:tc>
          <w:tcPr>
            <w:tcW w:w="1997" w:type="dxa"/>
            <w:vMerge w:val="restart"/>
          </w:tcPr>
          <w:p w14:paraId="0E0F3757" w14:textId="77777777" w:rsidR="00B4226B" w:rsidRPr="008E7A84" w:rsidRDefault="00B4226B" w:rsidP="00A932B5">
            <w:pPr>
              <w:jc w:val="center"/>
              <w:rPr>
                <w:sz w:val="24"/>
                <w:szCs w:val="24"/>
                <w:lang w:val="lt-LT"/>
              </w:rPr>
            </w:pPr>
            <w:r>
              <w:rPr>
                <w:sz w:val="24"/>
                <w:szCs w:val="24"/>
                <w:lang w:val="lt-LT"/>
              </w:rPr>
              <w:t xml:space="preserve">I, </w:t>
            </w:r>
            <w:r w:rsidRPr="008E7A84">
              <w:rPr>
                <w:sz w:val="24"/>
                <w:szCs w:val="24"/>
                <w:lang w:val="lt-LT"/>
              </w:rPr>
              <w:t>II pusmetis</w:t>
            </w:r>
          </w:p>
        </w:tc>
      </w:tr>
      <w:tr w:rsidR="00B4226B" w:rsidRPr="00A57449" w14:paraId="7A8FBA7F" w14:textId="77777777" w:rsidTr="00A932B5">
        <w:tc>
          <w:tcPr>
            <w:tcW w:w="556" w:type="dxa"/>
            <w:vMerge/>
            <w:shd w:val="clear" w:color="auto" w:fill="auto"/>
          </w:tcPr>
          <w:p w14:paraId="153E2135" w14:textId="77777777" w:rsidR="00B4226B" w:rsidRPr="008E7A84" w:rsidRDefault="00B4226B" w:rsidP="00A932B5">
            <w:pPr>
              <w:rPr>
                <w:color w:val="000000"/>
                <w:sz w:val="24"/>
                <w:szCs w:val="24"/>
              </w:rPr>
            </w:pPr>
          </w:p>
        </w:tc>
        <w:tc>
          <w:tcPr>
            <w:tcW w:w="7635" w:type="dxa"/>
            <w:shd w:val="clear" w:color="auto" w:fill="auto"/>
          </w:tcPr>
          <w:p w14:paraId="0B8CAC86" w14:textId="77777777" w:rsidR="00B4226B" w:rsidRPr="008E7A84" w:rsidRDefault="00B4226B" w:rsidP="00A932B5">
            <w:pPr>
              <w:jc w:val="both"/>
              <w:rPr>
                <w:color w:val="000000"/>
                <w:sz w:val="24"/>
                <w:szCs w:val="24"/>
                <w:lang w:val="lt-LT"/>
              </w:rPr>
            </w:pPr>
            <w:r w:rsidRPr="008E7A84">
              <w:rPr>
                <w:color w:val="000000"/>
                <w:sz w:val="24"/>
                <w:szCs w:val="24"/>
                <w:lang w:val="lt-LT"/>
              </w:rPr>
              <w:t xml:space="preserve">          Kartu su išvada dėl savivaldybės konsoliduotųjų ataskaitų  rinkinio teikiame išvadą dėl savivaldybės turto valdymo, naudojimo ir disponavimo. Mūsų pareiga nustatyti, ar savivaldybės turtas valdomas ir naudojamas savivaldybei priskirtos funkcijo</w:t>
            </w:r>
            <w:r>
              <w:rPr>
                <w:color w:val="000000"/>
                <w:sz w:val="24"/>
                <w:szCs w:val="24"/>
                <w:lang w:val="lt-LT"/>
              </w:rPr>
              <w:t>ms</w:t>
            </w:r>
            <w:r w:rsidRPr="008E7A84">
              <w:rPr>
                <w:color w:val="000000"/>
                <w:sz w:val="24"/>
                <w:szCs w:val="24"/>
                <w:lang w:val="lt-LT"/>
              </w:rPr>
              <w:t xml:space="preserve"> vykd</w:t>
            </w:r>
            <w:r>
              <w:rPr>
                <w:color w:val="000000"/>
                <w:sz w:val="24"/>
                <w:szCs w:val="24"/>
                <w:lang w:val="lt-LT"/>
              </w:rPr>
              <w:t>yti</w:t>
            </w:r>
            <w:r w:rsidRPr="008E7A84">
              <w:rPr>
                <w:color w:val="000000"/>
                <w:sz w:val="24"/>
                <w:szCs w:val="24"/>
                <w:lang w:val="lt-LT"/>
              </w:rPr>
              <w:t xml:space="preserve"> ir visuomenės poreikia</w:t>
            </w:r>
            <w:r>
              <w:rPr>
                <w:color w:val="000000"/>
                <w:sz w:val="24"/>
                <w:szCs w:val="24"/>
                <w:lang w:val="lt-LT"/>
              </w:rPr>
              <w:t>ms</w:t>
            </w:r>
            <w:r w:rsidRPr="008E7A84">
              <w:rPr>
                <w:color w:val="000000"/>
                <w:sz w:val="24"/>
                <w:szCs w:val="24"/>
                <w:lang w:val="lt-LT"/>
              </w:rPr>
              <w:t xml:space="preserve"> tenkin</w:t>
            </w:r>
            <w:r>
              <w:rPr>
                <w:color w:val="000000"/>
                <w:sz w:val="24"/>
                <w:szCs w:val="24"/>
                <w:lang w:val="lt-LT"/>
              </w:rPr>
              <w:t>ti</w:t>
            </w:r>
            <w:r w:rsidRPr="008E7A84">
              <w:rPr>
                <w:color w:val="000000"/>
                <w:sz w:val="24"/>
                <w:szCs w:val="24"/>
                <w:lang w:val="lt-LT"/>
              </w:rPr>
              <w:t xml:space="preserve"> efektyviausiu būdu.  Turto objektai bus pasirinkti atlikus atranką.</w:t>
            </w:r>
          </w:p>
          <w:p w14:paraId="2EC341FC" w14:textId="77777777" w:rsidR="00B4226B" w:rsidRPr="008E7A84" w:rsidRDefault="00B4226B" w:rsidP="00A932B5">
            <w:pPr>
              <w:jc w:val="both"/>
              <w:rPr>
                <w:color w:val="000000"/>
                <w:sz w:val="24"/>
                <w:szCs w:val="24"/>
                <w:lang w:val="lt-LT"/>
              </w:rPr>
            </w:pPr>
            <w:r w:rsidRPr="008E7A84">
              <w:rPr>
                <w:color w:val="000000"/>
                <w:sz w:val="24"/>
                <w:szCs w:val="24"/>
                <w:lang w:val="lt-LT"/>
              </w:rPr>
              <w:t xml:space="preserve">          Išvada dėl turto naudojimo pateikiama kasmet. </w:t>
            </w:r>
          </w:p>
          <w:p w14:paraId="13C727F5" w14:textId="77777777" w:rsidR="00B4226B" w:rsidRPr="008E7A84" w:rsidRDefault="00B4226B" w:rsidP="00A932B5">
            <w:pPr>
              <w:rPr>
                <w:color w:val="000000"/>
                <w:sz w:val="24"/>
                <w:szCs w:val="24"/>
              </w:rPr>
            </w:pPr>
            <w:r w:rsidRPr="008E7A84">
              <w:rPr>
                <w:color w:val="000000"/>
                <w:sz w:val="24"/>
                <w:szCs w:val="24"/>
                <w:lang w:val="lt-LT"/>
              </w:rPr>
              <w:t xml:space="preserve">         Audito apimtis: Savivaldyb</w:t>
            </w:r>
            <w:bookmarkStart w:id="0" w:name="_GoBack"/>
            <w:bookmarkEnd w:id="0"/>
            <w:r w:rsidRPr="008E7A84">
              <w:rPr>
                <w:color w:val="000000"/>
                <w:sz w:val="24"/>
                <w:szCs w:val="24"/>
                <w:lang w:val="lt-LT"/>
              </w:rPr>
              <w:t>ės administracija, savivaldybės biudžetinės įstaigos.</w:t>
            </w:r>
          </w:p>
        </w:tc>
        <w:tc>
          <w:tcPr>
            <w:tcW w:w="1997" w:type="dxa"/>
            <w:vMerge/>
          </w:tcPr>
          <w:p w14:paraId="5A549973" w14:textId="77777777" w:rsidR="00B4226B" w:rsidRPr="008E7A84" w:rsidRDefault="00B4226B" w:rsidP="00A932B5">
            <w:pPr>
              <w:jc w:val="both"/>
              <w:rPr>
                <w:sz w:val="24"/>
                <w:szCs w:val="24"/>
                <w:lang w:val="lt-LT"/>
              </w:rPr>
            </w:pPr>
          </w:p>
        </w:tc>
      </w:tr>
      <w:tr w:rsidR="00B4226B" w14:paraId="49C63992" w14:textId="77777777" w:rsidTr="00A932B5">
        <w:trPr>
          <w:trHeight w:val="589"/>
        </w:trPr>
        <w:tc>
          <w:tcPr>
            <w:tcW w:w="556" w:type="dxa"/>
            <w:shd w:val="clear" w:color="auto" w:fill="auto"/>
          </w:tcPr>
          <w:p w14:paraId="76F2A5A6" w14:textId="77777777" w:rsidR="00B4226B" w:rsidRPr="008E7A84" w:rsidRDefault="00B4226B" w:rsidP="00A932B5">
            <w:pPr>
              <w:rPr>
                <w:color w:val="000000"/>
                <w:sz w:val="24"/>
                <w:szCs w:val="24"/>
              </w:rPr>
            </w:pPr>
            <w:r w:rsidRPr="008E7A84">
              <w:rPr>
                <w:color w:val="000000"/>
                <w:sz w:val="24"/>
                <w:szCs w:val="24"/>
              </w:rPr>
              <w:t xml:space="preserve">2. </w:t>
            </w:r>
          </w:p>
        </w:tc>
        <w:tc>
          <w:tcPr>
            <w:tcW w:w="7635" w:type="dxa"/>
            <w:shd w:val="clear" w:color="auto" w:fill="auto"/>
          </w:tcPr>
          <w:p w14:paraId="55C9D9E6" w14:textId="77777777" w:rsidR="00B4226B" w:rsidRPr="008E7A84" w:rsidRDefault="00B4226B" w:rsidP="00A932B5">
            <w:pPr>
              <w:rPr>
                <w:color w:val="000000"/>
                <w:sz w:val="24"/>
                <w:szCs w:val="24"/>
                <w:lang w:val="lt-LT"/>
              </w:rPr>
            </w:pPr>
            <w:r>
              <w:rPr>
                <w:color w:val="000000"/>
                <w:sz w:val="24"/>
                <w:szCs w:val="24"/>
                <w:lang w:val="lt-LT"/>
              </w:rPr>
              <w:t xml:space="preserve">         Ikimokyklinio ugdymo įstaigose vaikų maitinimo organizavimas          </w:t>
            </w:r>
          </w:p>
        </w:tc>
        <w:tc>
          <w:tcPr>
            <w:tcW w:w="1997" w:type="dxa"/>
          </w:tcPr>
          <w:p w14:paraId="3BB92B7D" w14:textId="77777777" w:rsidR="00B4226B" w:rsidRPr="008E7A84" w:rsidRDefault="00B4226B" w:rsidP="00A932B5">
            <w:pPr>
              <w:jc w:val="center"/>
              <w:rPr>
                <w:color w:val="000000"/>
                <w:sz w:val="24"/>
                <w:szCs w:val="24"/>
                <w:lang w:val="lt-LT"/>
              </w:rPr>
            </w:pPr>
            <w:r>
              <w:rPr>
                <w:color w:val="000000"/>
                <w:sz w:val="24"/>
                <w:szCs w:val="24"/>
                <w:lang w:val="lt-LT"/>
              </w:rPr>
              <w:t>II pusmetis</w:t>
            </w:r>
          </w:p>
        </w:tc>
      </w:tr>
      <w:tr w:rsidR="00B4226B" w14:paraId="1015E29D" w14:textId="77777777" w:rsidTr="00A932B5">
        <w:tc>
          <w:tcPr>
            <w:tcW w:w="556" w:type="dxa"/>
            <w:vMerge w:val="restart"/>
            <w:shd w:val="clear" w:color="auto" w:fill="auto"/>
          </w:tcPr>
          <w:p w14:paraId="549B63BD" w14:textId="77777777" w:rsidR="00B4226B" w:rsidRDefault="00B4226B" w:rsidP="00A932B5">
            <w:pPr>
              <w:rPr>
                <w:color w:val="000000"/>
                <w:sz w:val="24"/>
                <w:szCs w:val="24"/>
              </w:rPr>
            </w:pPr>
            <w:r>
              <w:rPr>
                <w:color w:val="000000"/>
                <w:sz w:val="24"/>
                <w:szCs w:val="24"/>
              </w:rPr>
              <w:t xml:space="preserve">3. </w:t>
            </w:r>
          </w:p>
        </w:tc>
        <w:tc>
          <w:tcPr>
            <w:tcW w:w="7635" w:type="dxa"/>
            <w:shd w:val="clear" w:color="auto" w:fill="auto"/>
          </w:tcPr>
          <w:p w14:paraId="684E315C" w14:textId="77777777" w:rsidR="00B4226B" w:rsidRPr="008E7A84" w:rsidRDefault="00B4226B" w:rsidP="00A932B5">
            <w:pPr>
              <w:rPr>
                <w:color w:val="000000"/>
                <w:sz w:val="24"/>
                <w:szCs w:val="24"/>
                <w:lang w:val="lt-LT"/>
              </w:rPr>
            </w:pPr>
            <w:r>
              <w:rPr>
                <w:color w:val="000000"/>
                <w:sz w:val="24"/>
                <w:szCs w:val="24"/>
                <w:lang w:val="lt-LT"/>
              </w:rPr>
              <w:t xml:space="preserve">         </w:t>
            </w:r>
            <w:r w:rsidRPr="008E7A84">
              <w:rPr>
                <w:color w:val="000000"/>
                <w:sz w:val="24"/>
                <w:szCs w:val="24"/>
                <w:lang w:val="lt-LT"/>
              </w:rPr>
              <w:t>Neplaniniai auditai, kontrolės funkcij</w:t>
            </w:r>
            <w:r>
              <w:rPr>
                <w:color w:val="000000"/>
                <w:sz w:val="24"/>
                <w:szCs w:val="24"/>
                <w:lang w:val="lt-LT"/>
              </w:rPr>
              <w:t>ų vykdymas</w:t>
            </w:r>
          </w:p>
          <w:p w14:paraId="1AC87F40" w14:textId="77777777" w:rsidR="00B4226B" w:rsidRPr="00241260" w:rsidRDefault="00B4226B" w:rsidP="00A932B5">
            <w:pPr>
              <w:jc w:val="both"/>
              <w:rPr>
                <w:color w:val="000000"/>
                <w:sz w:val="24"/>
                <w:szCs w:val="24"/>
                <w:lang w:val="lt-LT"/>
              </w:rPr>
            </w:pPr>
            <w:r>
              <w:rPr>
                <w:color w:val="000000"/>
                <w:sz w:val="24"/>
                <w:szCs w:val="24"/>
                <w:lang w:val="lt-LT"/>
              </w:rPr>
              <w:t xml:space="preserve">          </w:t>
            </w:r>
          </w:p>
        </w:tc>
        <w:tc>
          <w:tcPr>
            <w:tcW w:w="1997" w:type="dxa"/>
            <w:vMerge w:val="restart"/>
          </w:tcPr>
          <w:p w14:paraId="18C67226" w14:textId="77777777" w:rsidR="00B4226B" w:rsidRDefault="00B4226B" w:rsidP="00A932B5">
            <w:pPr>
              <w:jc w:val="center"/>
              <w:rPr>
                <w:color w:val="000000"/>
                <w:sz w:val="24"/>
                <w:szCs w:val="24"/>
                <w:lang w:val="lt-LT"/>
              </w:rPr>
            </w:pPr>
            <w:r w:rsidRPr="008E7A84">
              <w:rPr>
                <w:color w:val="000000"/>
                <w:sz w:val="24"/>
                <w:szCs w:val="24"/>
                <w:lang w:val="lt-LT"/>
              </w:rPr>
              <w:t>Pagal poreikį, nurodytais terminais</w:t>
            </w:r>
          </w:p>
        </w:tc>
      </w:tr>
      <w:tr w:rsidR="00B4226B" w14:paraId="03A18DAF" w14:textId="77777777" w:rsidTr="00A932B5">
        <w:tc>
          <w:tcPr>
            <w:tcW w:w="556" w:type="dxa"/>
            <w:vMerge/>
            <w:shd w:val="clear" w:color="auto" w:fill="auto"/>
          </w:tcPr>
          <w:p w14:paraId="32A36D77" w14:textId="77777777" w:rsidR="00B4226B" w:rsidRDefault="00B4226B" w:rsidP="00A932B5">
            <w:pPr>
              <w:rPr>
                <w:color w:val="000000"/>
                <w:sz w:val="24"/>
                <w:szCs w:val="24"/>
              </w:rPr>
            </w:pPr>
          </w:p>
        </w:tc>
        <w:tc>
          <w:tcPr>
            <w:tcW w:w="7635" w:type="dxa"/>
            <w:shd w:val="clear" w:color="auto" w:fill="auto"/>
          </w:tcPr>
          <w:p w14:paraId="42AB2C32" w14:textId="77777777" w:rsidR="00B4226B" w:rsidRDefault="00B4226B" w:rsidP="00A932B5">
            <w:pPr>
              <w:jc w:val="both"/>
              <w:rPr>
                <w:color w:val="000000"/>
                <w:sz w:val="24"/>
                <w:szCs w:val="24"/>
                <w:lang w:val="lt-LT"/>
              </w:rPr>
            </w:pPr>
            <w:r>
              <w:rPr>
                <w:color w:val="000000"/>
                <w:sz w:val="24"/>
                <w:szCs w:val="24"/>
                <w:lang w:val="lt-LT"/>
              </w:rPr>
              <w:t xml:space="preserve">         Kiekvienais metais atliekame neplaninių auditų, todėl juos būtina įtraukti į veiklos planą.</w:t>
            </w:r>
          </w:p>
        </w:tc>
        <w:tc>
          <w:tcPr>
            <w:tcW w:w="1997" w:type="dxa"/>
            <w:vMerge/>
          </w:tcPr>
          <w:p w14:paraId="3BCB5C52" w14:textId="77777777" w:rsidR="00B4226B" w:rsidRPr="008E7A84" w:rsidRDefault="00B4226B" w:rsidP="00A932B5">
            <w:pPr>
              <w:jc w:val="center"/>
              <w:rPr>
                <w:color w:val="000000"/>
                <w:sz w:val="24"/>
                <w:szCs w:val="24"/>
                <w:lang w:val="lt-LT"/>
              </w:rPr>
            </w:pPr>
          </w:p>
        </w:tc>
      </w:tr>
      <w:tr w:rsidR="00B4226B" w14:paraId="484E788C" w14:textId="77777777" w:rsidTr="00A932B5">
        <w:tc>
          <w:tcPr>
            <w:tcW w:w="556" w:type="dxa"/>
            <w:shd w:val="clear" w:color="auto" w:fill="auto"/>
          </w:tcPr>
          <w:p w14:paraId="67C52885" w14:textId="77777777" w:rsidR="00B4226B" w:rsidRPr="00A57449" w:rsidRDefault="00B4226B" w:rsidP="00A932B5">
            <w:pPr>
              <w:rPr>
                <w:color w:val="000000"/>
                <w:sz w:val="24"/>
                <w:szCs w:val="24"/>
              </w:rPr>
            </w:pPr>
            <w:r>
              <w:rPr>
                <w:color w:val="000000"/>
                <w:sz w:val="24"/>
                <w:szCs w:val="24"/>
              </w:rPr>
              <w:t xml:space="preserve">4. </w:t>
            </w:r>
          </w:p>
        </w:tc>
        <w:tc>
          <w:tcPr>
            <w:tcW w:w="7635" w:type="dxa"/>
            <w:shd w:val="clear" w:color="auto" w:fill="auto"/>
          </w:tcPr>
          <w:p w14:paraId="11B06E21" w14:textId="77777777" w:rsidR="00B4226B" w:rsidRPr="00241260" w:rsidRDefault="00B4226B" w:rsidP="00A932B5">
            <w:pPr>
              <w:jc w:val="both"/>
              <w:rPr>
                <w:color w:val="000000"/>
                <w:sz w:val="24"/>
                <w:szCs w:val="24"/>
              </w:rPr>
            </w:pPr>
            <w:r>
              <w:rPr>
                <w:color w:val="000000"/>
                <w:sz w:val="24"/>
                <w:szCs w:val="24"/>
              </w:rPr>
              <w:t xml:space="preserve">         </w:t>
            </w:r>
            <w:proofErr w:type="gramStart"/>
            <w:r>
              <w:rPr>
                <w:color w:val="000000"/>
                <w:sz w:val="24"/>
                <w:szCs w:val="24"/>
              </w:rPr>
              <w:t>I</w:t>
            </w:r>
            <w:proofErr w:type="spellStart"/>
            <w:r w:rsidRPr="00AA7701">
              <w:rPr>
                <w:color w:val="000000"/>
                <w:sz w:val="24"/>
                <w:szCs w:val="24"/>
                <w:shd w:val="clear" w:color="auto" w:fill="FFFFFF"/>
                <w:lang w:val="lt-LT"/>
              </w:rPr>
              <w:t>švad</w:t>
            </w:r>
            <w:r>
              <w:rPr>
                <w:color w:val="000000"/>
                <w:sz w:val="24"/>
                <w:szCs w:val="24"/>
                <w:shd w:val="clear" w:color="auto" w:fill="FFFFFF"/>
                <w:lang w:val="lt-LT"/>
              </w:rPr>
              <w:t>ų</w:t>
            </w:r>
            <w:proofErr w:type="spellEnd"/>
            <w:r w:rsidRPr="00AA7701">
              <w:rPr>
                <w:color w:val="000000"/>
                <w:sz w:val="24"/>
                <w:szCs w:val="24"/>
                <w:shd w:val="clear" w:color="auto" w:fill="FFFFFF"/>
                <w:lang w:val="lt-LT"/>
              </w:rPr>
              <w:t xml:space="preserve"> </w:t>
            </w:r>
            <w:r>
              <w:rPr>
                <w:color w:val="000000"/>
                <w:sz w:val="24"/>
                <w:szCs w:val="24"/>
                <w:shd w:val="clear" w:color="auto" w:fill="FFFFFF"/>
                <w:lang w:val="lt-LT"/>
              </w:rPr>
              <w:t xml:space="preserve"> teikimas</w:t>
            </w:r>
            <w:proofErr w:type="gramEnd"/>
            <w:r>
              <w:rPr>
                <w:color w:val="000000"/>
                <w:sz w:val="24"/>
                <w:szCs w:val="24"/>
                <w:shd w:val="clear" w:color="auto" w:fill="FFFFFF"/>
                <w:lang w:val="lt-LT"/>
              </w:rPr>
              <w:t xml:space="preserve"> </w:t>
            </w:r>
            <w:r w:rsidRPr="00AA7701">
              <w:rPr>
                <w:color w:val="000000"/>
                <w:sz w:val="24"/>
                <w:szCs w:val="24"/>
                <w:shd w:val="clear" w:color="auto" w:fill="FFFFFF"/>
                <w:lang w:val="lt-LT"/>
              </w:rPr>
              <w:t>dėl savivaldybės naudojimosi bankų kreditais, paskolų ėmimo ir teikimo, garantijų suteikimo ir laidavimo kreditoriams už savivaldybės kontroliuojamų įmonių imamas paskolas</w:t>
            </w:r>
            <w:r>
              <w:rPr>
                <w:color w:val="000000"/>
                <w:sz w:val="24"/>
                <w:szCs w:val="24"/>
                <w:shd w:val="clear" w:color="auto" w:fill="FFFFFF"/>
                <w:lang w:val="lt-LT"/>
              </w:rPr>
              <w:t xml:space="preserve">. </w:t>
            </w:r>
          </w:p>
        </w:tc>
        <w:tc>
          <w:tcPr>
            <w:tcW w:w="1997" w:type="dxa"/>
          </w:tcPr>
          <w:p w14:paraId="387DAC79" w14:textId="77777777" w:rsidR="00B4226B" w:rsidRDefault="00B4226B" w:rsidP="00A932B5">
            <w:pPr>
              <w:jc w:val="center"/>
              <w:rPr>
                <w:color w:val="000000"/>
                <w:sz w:val="24"/>
                <w:szCs w:val="24"/>
              </w:rPr>
            </w:pPr>
            <w:r w:rsidRPr="008E7A84">
              <w:rPr>
                <w:color w:val="000000"/>
                <w:sz w:val="24"/>
                <w:szCs w:val="24"/>
                <w:lang w:val="lt-LT"/>
              </w:rPr>
              <w:t>Pagal poreikį, nurodytais terminais</w:t>
            </w:r>
          </w:p>
        </w:tc>
      </w:tr>
      <w:tr w:rsidR="00B4226B" w:rsidRPr="00C84ADB" w14:paraId="7C5F99EE" w14:textId="77777777" w:rsidTr="00A932B5">
        <w:tc>
          <w:tcPr>
            <w:tcW w:w="556" w:type="dxa"/>
            <w:shd w:val="clear" w:color="auto" w:fill="auto"/>
          </w:tcPr>
          <w:p w14:paraId="05735D7E" w14:textId="77777777" w:rsidR="00B4226B" w:rsidRPr="00C84ADB" w:rsidRDefault="00B4226B" w:rsidP="00A932B5">
            <w:pPr>
              <w:rPr>
                <w:color w:val="000000"/>
                <w:sz w:val="24"/>
                <w:szCs w:val="24"/>
                <w:lang w:val="lt-LT"/>
              </w:rPr>
            </w:pPr>
            <w:r>
              <w:rPr>
                <w:color w:val="000000"/>
                <w:sz w:val="24"/>
                <w:szCs w:val="24"/>
                <w:lang w:val="lt-LT"/>
              </w:rPr>
              <w:t>5</w:t>
            </w:r>
            <w:r w:rsidRPr="00C84ADB">
              <w:rPr>
                <w:color w:val="000000"/>
                <w:sz w:val="24"/>
                <w:szCs w:val="24"/>
                <w:lang w:val="lt-LT"/>
              </w:rPr>
              <w:t xml:space="preserve">. </w:t>
            </w:r>
          </w:p>
        </w:tc>
        <w:tc>
          <w:tcPr>
            <w:tcW w:w="7635" w:type="dxa"/>
            <w:shd w:val="clear" w:color="auto" w:fill="auto"/>
          </w:tcPr>
          <w:p w14:paraId="35D65AF4" w14:textId="77777777" w:rsidR="00B4226B" w:rsidRPr="00C84ADB" w:rsidRDefault="00B4226B" w:rsidP="00A932B5">
            <w:pPr>
              <w:jc w:val="both"/>
              <w:rPr>
                <w:color w:val="000000"/>
                <w:sz w:val="24"/>
                <w:szCs w:val="24"/>
                <w:lang w:val="lt-LT"/>
              </w:rPr>
            </w:pPr>
            <w:r>
              <w:rPr>
                <w:color w:val="000000"/>
                <w:sz w:val="24"/>
                <w:szCs w:val="24"/>
                <w:lang w:val="lt-LT"/>
              </w:rPr>
              <w:t xml:space="preserve">         </w:t>
            </w:r>
            <w:r w:rsidRPr="00C84ADB">
              <w:rPr>
                <w:color w:val="000000"/>
                <w:sz w:val="24"/>
                <w:szCs w:val="24"/>
                <w:lang w:val="lt-LT"/>
              </w:rPr>
              <w:t>Tarnybos teiktų rekomendacijų įgyvendinimo stebėsena</w:t>
            </w:r>
          </w:p>
        </w:tc>
        <w:tc>
          <w:tcPr>
            <w:tcW w:w="1997" w:type="dxa"/>
          </w:tcPr>
          <w:p w14:paraId="7B6C149C" w14:textId="77777777" w:rsidR="00B4226B" w:rsidRPr="00C84ADB" w:rsidRDefault="00B4226B" w:rsidP="00A932B5">
            <w:pPr>
              <w:jc w:val="center"/>
              <w:rPr>
                <w:color w:val="000000"/>
                <w:sz w:val="24"/>
                <w:szCs w:val="24"/>
                <w:lang w:val="lt-LT"/>
              </w:rPr>
            </w:pPr>
            <w:r>
              <w:rPr>
                <w:color w:val="000000"/>
                <w:sz w:val="24"/>
                <w:szCs w:val="24"/>
                <w:lang w:val="lt-LT"/>
              </w:rPr>
              <w:t xml:space="preserve">Nuolatos </w:t>
            </w:r>
          </w:p>
        </w:tc>
      </w:tr>
      <w:tr w:rsidR="00B4226B" w:rsidRPr="00C84ADB" w14:paraId="5B9ACFAA" w14:textId="77777777" w:rsidTr="00A932B5">
        <w:tc>
          <w:tcPr>
            <w:tcW w:w="556" w:type="dxa"/>
            <w:shd w:val="clear" w:color="auto" w:fill="auto"/>
          </w:tcPr>
          <w:p w14:paraId="7AA14A00" w14:textId="77777777" w:rsidR="00B4226B" w:rsidRPr="00C84ADB" w:rsidRDefault="00B4226B" w:rsidP="00A932B5">
            <w:pPr>
              <w:rPr>
                <w:color w:val="000000"/>
                <w:sz w:val="24"/>
                <w:szCs w:val="24"/>
                <w:lang w:val="lt-LT"/>
              </w:rPr>
            </w:pPr>
            <w:r>
              <w:rPr>
                <w:color w:val="000000"/>
                <w:sz w:val="24"/>
                <w:szCs w:val="24"/>
                <w:lang w:val="lt-LT"/>
              </w:rPr>
              <w:t>6.</w:t>
            </w:r>
          </w:p>
        </w:tc>
        <w:tc>
          <w:tcPr>
            <w:tcW w:w="7635" w:type="dxa"/>
            <w:shd w:val="clear" w:color="auto" w:fill="auto"/>
          </w:tcPr>
          <w:p w14:paraId="18A0DCA9" w14:textId="77777777" w:rsidR="00B4226B" w:rsidRPr="00C84ADB" w:rsidRDefault="00B4226B" w:rsidP="00A932B5">
            <w:pPr>
              <w:jc w:val="both"/>
              <w:rPr>
                <w:color w:val="000000"/>
                <w:sz w:val="24"/>
                <w:szCs w:val="24"/>
                <w:lang w:val="lt-LT"/>
              </w:rPr>
            </w:pPr>
            <w:r w:rsidRPr="00C84ADB">
              <w:rPr>
                <w:color w:val="000000"/>
                <w:sz w:val="24"/>
                <w:szCs w:val="24"/>
                <w:lang w:val="lt-LT"/>
              </w:rPr>
              <w:t xml:space="preserve">          </w:t>
            </w:r>
            <w:r>
              <w:rPr>
                <w:color w:val="000000"/>
                <w:sz w:val="24"/>
                <w:szCs w:val="24"/>
                <w:lang w:val="lt-LT"/>
              </w:rPr>
              <w:t>I</w:t>
            </w:r>
            <w:r w:rsidRPr="00C84ADB">
              <w:rPr>
                <w:sz w:val="24"/>
                <w:szCs w:val="24"/>
                <w:lang w:val="lt-LT"/>
              </w:rPr>
              <w:t>š  gyventojų gaunam</w:t>
            </w:r>
            <w:r>
              <w:rPr>
                <w:sz w:val="24"/>
                <w:szCs w:val="24"/>
                <w:lang w:val="lt-LT"/>
              </w:rPr>
              <w:t>ų</w:t>
            </w:r>
            <w:r w:rsidRPr="00C84ADB">
              <w:rPr>
                <w:sz w:val="24"/>
                <w:szCs w:val="24"/>
                <w:lang w:val="lt-LT"/>
              </w:rPr>
              <w:t xml:space="preserve">  prašym</w:t>
            </w:r>
            <w:r>
              <w:rPr>
                <w:sz w:val="24"/>
                <w:szCs w:val="24"/>
                <w:lang w:val="lt-LT"/>
              </w:rPr>
              <w:t>ų</w:t>
            </w:r>
            <w:r w:rsidRPr="00C84ADB">
              <w:rPr>
                <w:sz w:val="24"/>
                <w:szCs w:val="24"/>
                <w:lang w:val="lt-LT"/>
              </w:rPr>
              <w:t>, pranešim</w:t>
            </w:r>
            <w:r>
              <w:rPr>
                <w:sz w:val="24"/>
                <w:szCs w:val="24"/>
                <w:lang w:val="lt-LT"/>
              </w:rPr>
              <w:t>ų</w:t>
            </w:r>
            <w:r w:rsidRPr="00C84ADB">
              <w:rPr>
                <w:sz w:val="24"/>
                <w:szCs w:val="24"/>
                <w:lang w:val="lt-LT"/>
              </w:rPr>
              <w:t>, skund</w:t>
            </w:r>
            <w:r>
              <w:rPr>
                <w:sz w:val="24"/>
                <w:szCs w:val="24"/>
                <w:lang w:val="lt-LT"/>
              </w:rPr>
              <w:t>ų</w:t>
            </w:r>
            <w:r w:rsidRPr="00C84ADB">
              <w:rPr>
                <w:sz w:val="24"/>
                <w:szCs w:val="24"/>
                <w:lang w:val="lt-LT"/>
              </w:rPr>
              <w:t xml:space="preserve">  ir pareiškim</w:t>
            </w:r>
            <w:r>
              <w:rPr>
                <w:sz w:val="24"/>
                <w:szCs w:val="24"/>
                <w:lang w:val="lt-LT"/>
              </w:rPr>
              <w:t xml:space="preserve">ų </w:t>
            </w:r>
            <w:r w:rsidRPr="00C84ADB">
              <w:rPr>
                <w:sz w:val="24"/>
                <w:szCs w:val="24"/>
                <w:lang w:val="lt-LT"/>
              </w:rPr>
              <w:t>dėl savivaldybės lėšų ir turto, patikėjimo teise valdomo valstybės turto naudojimo, valdymo ir disponavimo juo</w:t>
            </w:r>
            <w:r>
              <w:rPr>
                <w:sz w:val="24"/>
                <w:szCs w:val="24"/>
                <w:lang w:val="lt-LT"/>
              </w:rPr>
              <w:t xml:space="preserve"> nagrinėjimas, išvadų rengimas ir pateikimas</w:t>
            </w:r>
          </w:p>
        </w:tc>
        <w:tc>
          <w:tcPr>
            <w:tcW w:w="1997" w:type="dxa"/>
          </w:tcPr>
          <w:p w14:paraId="6E3E0034" w14:textId="77777777" w:rsidR="00B4226B" w:rsidRDefault="00B4226B" w:rsidP="00A932B5">
            <w:pPr>
              <w:jc w:val="center"/>
              <w:rPr>
                <w:color w:val="000000"/>
                <w:sz w:val="24"/>
                <w:szCs w:val="24"/>
                <w:lang w:val="lt-LT"/>
              </w:rPr>
            </w:pPr>
            <w:r>
              <w:rPr>
                <w:color w:val="000000"/>
                <w:sz w:val="24"/>
                <w:szCs w:val="24"/>
                <w:lang w:val="lt-LT"/>
              </w:rPr>
              <w:t>Pagal gautus prašymus</w:t>
            </w:r>
          </w:p>
        </w:tc>
      </w:tr>
    </w:tbl>
    <w:p w14:paraId="5D1D8180" w14:textId="77777777" w:rsidR="00B4226B" w:rsidRDefault="00B4226B" w:rsidP="00B4226B">
      <w:pPr>
        <w:rPr>
          <w:sz w:val="22"/>
          <w:szCs w:val="22"/>
          <w:lang w:val="lt-LT"/>
        </w:rPr>
      </w:pPr>
    </w:p>
    <w:p w14:paraId="4FFDF60C" w14:textId="77777777" w:rsidR="00B4226B" w:rsidRPr="00A018BE" w:rsidRDefault="00B4226B" w:rsidP="00B4226B">
      <w:pPr>
        <w:rPr>
          <w:color w:val="2F5496"/>
          <w:sz w:val="22"/>
          <w:szCs w:val="22"/>
          <w:lang w:val="lt-LT"/>
        </w:rPr>
      </w:pPr>
    </w:p>
    <w:p w14:paraId="5CD50F70" w14:textId="77777777" w:rsidR="00B4226B" w:rsidRDefault="00B4226B" w:rsidP="00B4226B">
      <w:pPr>
        <w:numPr>
          <w:ilvl w:val="0"/>
          <w:numId w:val="2"/>
        </w:numPr>
        <w:rPr>
          <w:color w:val="2F5496"/>
          <w:sz w:val="24"/>
          <w:szCs w:val="24"/>
          <w:lang w:val="lt-LT"/>
        </w:rPr>
      </w:pPr>
      <w:r w:rsidRPr="00A018BE">
        <w:rPr>
          <w:color w:val="2F5496"/>
          <w:sz w:val="24"/>
          <w:szCs w:val="24"/>
          <w:lang w:val="lt-LT"/>
        </w:rPr>
        <w:t>TARNYBOS VEIKLOS ORGANIZAVIMAS, VIDAUS ADMINISTRAVIMAS,  KITŲ PRISKIRTŲ FUNKCIJŲ VYKDYMAS</w:t>
      </w:r>
    </w:p>
    <w:p w14:paraId="74BE16CC" w14:textId="77777777" w:rsidR="00B4226B" w:rsidRPr="00A018BE" w:rsidRDefault="00B4226B" w:rsidP="00B4226B">
      <w:pPr>
        <w:ind w:left="720"/>
        <w:rPr>
          <w:color w:val="2F5496"/>
          <w:sz w:val="24"/>
          <w:szCs w:val="24"/>
          <w:lang w:val="lt-LT"/>
        </w:rPr>
      </w:pPr>
    </w:p>
    <w:p w14:paraId="3B7D8B84" w14:textId="77777777" w:rsidR="00B4226B" w:rsidRPr="00135DD9" w:rsidRDefault="00B4226B" w:rsidP="00B4226B">
      <w:pPr>
        <w:rPr>
          <w:lang w:val="lt-LT"/>
        </w:rPr>
      </w:pP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12"/>
        <w:gridCol w:w="1808"/>
      </w:tblGrid>
      <w:tr w:rsidR="00B4226B" w:rsidRPr="00D55542" w14:paraId="7A056C6C" w14:textId="77777777" w:rsidTr="00A932B5">
        <w:trPr>
          <w:trHeight w:val="225"/>
        </w:trPr>
        <w:tc>
          <w:tcPr>
            <w:tcW w:w="568" w:type="dxa"/>
          </w:tcPr>
          <w:p w14:paraId="5A5E2716" w14:textId="77777777" w:rsidR="00B4226B" w:rsidRPr="00D55542" w:rsidRDefault="00B4226B" w:rsidP="00A932B5">
            <w:pPr>
              <w:rPr>
                <w:sz w:val="24"/>
                <w:szCs w:val="24"/>
                <w:lang w:val="lt-LT"/>
              </w:rPr>
            </w:pPr>
            <w:r w:rsidRPr="00D55542">
              <w:rPr>
                <w:sz w:val="24"/>
                <w:szCs w:val="24"/>
                <w:lang w:val="lt-LT"/>
              </w:rPr>
              <w:t>Eil. Nr.</w:t>
            </w:r>
          </w:p>
        </w:tc>
        <w:tc>
          <w:tcPr>
            <w:tcW w:w="7512" w:type="dxa"/>
          </w:tcPr>
          <w:p w14:paraId="690E528D" w14:textId="77777777" w:rsidR="00B4226B" w:rsidRPr="00D55542" w:rsidRDefault="00B4226B" w:rsidP="00A932B5">
            <w:pPr>
              <w:jc w:val="center"/>
              <w:rPr>
                <w:sz w:val="24"/>
                <w:szCs w:val="24"/>
                <w:lang w:val="lt-LT"/>
              </w:rPr>
            </w:pPr>
            <w:r w:rsidRPr="00D55542">
              <w:rPr>
                <w:sz w:val="24"/>
                <w:szCs w:val="24"/>
                <w:lang w:val="lt-LT"/>
              </w:rPr>
              <w:t>Pavadinimas</w:t>
            </w:r>
          </w:p>
          <w:p w14:paraId="6581EA13" w14:textId="77777777" w:rsidR="00B4226B" w:rsidRPr="00D55542" w:rsidRDefault="00B4226B" w:rsidP="00A932B5">
            <w:pPr>
              <w:jc w:val="center"/>
              <w:rPr>
                <w:sz w:val="24"/>
                <w:szCs w:val="24"/>
                <w:lang w:val="lt-LT"/>
              </w:rPr>
            </w:pPr>
          </w:p>
        </w:tc>
        <w:tc>
          <w:tcPr>
            <w:tcW w:w="1808" w:type="dxa"/>
          </w:tcPr>
          <w:p w14:paraId="43FDC899" w14:textId="77777777" w:rsidR="00B4226B" w:rsidRPr="00D55542" w:rsidRDefault="00B4226B" w:rsidP="00A932B5">
            <w:pPr>
              <w:jc w:val="center"/>
              <w:rPr>
                <w:sz w:val="24"/>
                <w:szCs w:val="24"/>
                <w:lang w:val="lt-LT"/>
              </w:rPr>
            </w:pPr>
            <w:r w:rsidRPr="00D55542">
              <w:rPr>
                <w:sz w:val="24"/>
                <w:szCs w:val="24"/>
                <w:lang w:val="lt-LT"/>
              </w:rPr>
              <w:t>Atlikimo laikotarpis</w:t>
            </w:r>
          </w:p>
        </w:tc>
      </w:tr>
      <w:tr w:rsidR="00B4226B" w:rsidRPr="00D55542" w14:paraId="0583E6E5" w14:textId="77777777" w:rsidTr="00A932B5">
        <w:trPr>
          <w:trHeight w:val="501"/>
        </w:trPr>
        <w:tc>
          <w:tcPr>
            <w:tcW w:w="568" w:type="dxa"/>
          </w:tcPr>
          <w:p w14:paraId="3D1D5914" w14:textId="77777777" w:rsidR="00B4226B" w:rsidRPr="00D55542" w:rsidRDefault="00B4226B" w:rsidP="00A932B5">
            <w:pPr>
              <w:rPr>
                <w:sz w:val="24"/>
                <w:szCs w:val="24"/>
                <w:lang w:val="lt-LT"/>
              </w:rPr>
            </w:pPr>
            <w:r w:rsidRPr="00D55542">
              <w:rPr>
                <w:sz w:val="24"/>
                <w:szCs w:val="24"/>
                <w:lang w:val="lt-LT"/>
              </w:rPr>
              <w:t>1.</w:t>
            </w:r>
          </w:p>
        </w:tc>
        <w:tc>
          <w:tcPr>
            <w:tcW w:w="7512" w:type="dxa"/>
          </w:tcPr>
          <w:p w14:paraId="29EF3932" w14:textId="77777777" w:rsidR="00B4226B" w:rsidRPr="00D55542" w:rsidRDefault="00B4226B" w:rsidP="00A932B5">
            <w:pPr>
              <w:jc w:val="both"/>
              <w:rPr>
                <w:sz w:val="24"/>
                <w:szCs w:val="24"/>
                <w:lang w:val="lt-LT"/>
              </w:rPr>
            </w:pPr>
            <w:r w:rsidRPr="00D55542">
              <w:rPr>
                <w:sz w:val="24"/>
                <w:szCs w:val="24"/>
                <w:lang w:val="lt-LT"/>
              </w:rPr>
              <w:t>Audito planavimas, audito strategijos 2020 metams parengimas</w:t>
            </w:r>
          </w:p>
        </w:tc>
        <w:tc>
          <w:tcPr>
            <w:tcW w:w="1808" w:type="dxa"/>
          </w:tcPr>
          <w:p w14:paraId="59720057" w14:textId="77777777" w:rsidR="00B4226B" w:rsidRPr="00D55542" w:rsidRDefault="00B4226B" w:rsidP="00A932B5">
            <w:pPr>
              <w:jc w:val="center"/>
              <w:rPr>
                <w:sz w:val="24"/>
                <w:szCs w:val="24"/>
                <w:lang w:val="lt-LT"/>
              </w:rPr>
            </w:pPr>
            <w:r w:rsidRPr="00D55542">
              <w:rPr>
                <w:sz w:val="24"/>
                <w:szCs w:val="24"/>
                <w:lang w:val="lt-LT"/>
              </w:rPr>
              <w:t>II pusmetis</w:t>
            </w:r>
          </w:p>
        </w:tc>
      </w:tr>
      <w:tr w:rsidR="00B4226B" w:rsidRPr="00D55542" w14:paraId="39AA8FBE" w14:textId="77777777" w:rsidTr="00A932B5">
        <w:trPr>
          <w:trHeight w:val="501"/>
        </w:trPr>
        <w:tc>
          <w:tcPr>
            <w:tcW w:w="568" w:type="dxa"/>
          </w:tcPr>
          <w:p w14:paraId="303D9823" w14:textId="77777777" w:rsidR="00B4226B" w:rsidRPr="00D55542" w:rsidRDefault="00B4226B" w:rsidP="00A932B5">
            <w:pPr>
              <w:rPr>
                <w:sz w:val="24"/>
                <w:szCs w:val="24"/>
                <w:lang w:val="lt-LT"/>
              </w:rPr>
            </w:pPr>
            <w:r w:rsidRPr="00D55542">
              <w:rPr>
                <w:sz w:val="24"/>
                <w:szCs w:val="24"/>
                <w:lang w:val="lt-LT"/>
              </w:rPr>
              <w:t>2.</w:t>
            </w:r>
          </w:p>
        </w:tc>
        <w:tc>
          <w:tcPr>
            <w:tcW w:w="7512" w:type="dxa"/>
          </w:tcPr>
          <w:p w14:paraId="4602525A" w14:textId="77777777" w:rsidR="00B4226B" w:rsidRPr="00D55542" w:rsidRDefault="00B4226B" w:rsidP="00A932B5">
            <w:pPr>
              <w:jc w:val="both"/>
              <w:rPr>
                <w:sz w:val="24"/>
                <w:szCs w:val="24"/>
                <w:lang w:val="lt-LT"/>
              </w:rPr>
            </w:pPr>
            <w:r w:rsidRPr="00D55542">
              <w:rPr>
                <w:sz w:val="24"/>
                <w:szCs w:val="24"/>
                <w:lang w:val="lt-LT"/>
              </w:rPr>
              <w:t>Parengti ir pateikti Savivaldybės tarybai Kontrolės ir audito tarnybos 2018 metų veiklos ataskaitą</w:t>
            </w:r>
          </w:p>
        </w:tc>
        <w:tc>
          <w:tcPr>
            <w:tcW w:w="1808" w:type="dxa"/>
          </w:tcPr>
          <w:p w14:paraId="621E2627" w14:textId="77777777" w:rsidR="00B4226B" w:rsidRPr="00D55542" w:rsidRDefault="00B4226B" w:rsidP="00A932B5">
            <w:pPr>
              <w:jc w:val="center"/>
              <w:rPr>
                <w:sz w:val="24"/>
                <w:szCs w:val="24"/>
                <w:lang w:val="lt-LT"/>
              </w:rPr>
            </w:pPr>
            <w:r w:rsidRPr="00D55542">
              <w:rPr>
                <w:sz w:val="24"/>
                <w:szCs w:val="24"/>
                <w:lang w:val="lt-LT"/>
              </w:rPr>
              <w:t>Iki gegužės 1 d.</w:t>
            </w:r>
          </w:p>
        </w:tc>
      </w:tr>
      <w:tr w:rsidR="00B4226B" w:rsidRPr="00D55542" w14:paraId="6F3849F8" w14:textId="77777777" w:rsidTr="00A932B5">
        <w:trPr>
          <w:trHeight w:val="501"/>
        </w:trPr>
        <w:tc>
          <w:tcPr>
            <w:tcW w:w="568" w:type="dxa"/>
          </w:tcPr>
          <w:p w14:paraId="5F59433D" w14:textId="77777777" w:rsidR="00B4226B" w:rsidRPr="00D55542" w:rsidRDefault="00B4226B" w:rsidP="00A932B5">
            <w:pPr>
              <w:rPr>
                <w:sz w:val="24"/>
                <w:szCs w:val="24"/>
                <w:lang w:val="lt-LT"/>
              </w:rPr>
            </w:pPr>
            <w:r w:rsidRPr="00D55542">
              <w:rPr>
                <w:sz w:val="24"/>
                <w:szCs w:val="24"/>
                <w:lang w:val="lt-LT"/>
              </w:rPr>
              <w:t xml:space="preserve">3. </w:t>
            </w:r>
          </w:p>
        </w:tc>
        <w:tc>
          <w:tcPr>
            <w:tcW w:w="7512" w:type="dxa"/>
          </w:tcPr>
          <w:p w14:paraId="7E75657B" w14:textId="77777777" w:rsidR="00B4226B" w:rsidRPr="00D55542" w:rsidRDefault="00B4226B" w:rsidP="00A932B5">
            <w:pPr>
              <w:pStyle w:val="TableText"/>
              <w:jc w:val="both"/>
              <w:rPr>
                <w:lang w:val="lt-LT"/>
              </w:rPr>
            </w:pPr>
            <w:r w:rsidRPr="00D55542">
              <w:rPr>
                <w:lang w:val="lt-LT"/>
              </w:rPr>
              <w:t>Organizuoti Kontrolės ir audito tarnybos darbą, valstybės tarnautojų mokymą ir kvalifikacijos tobulinimą</w:t>
            </w:r>
          </w:p>
        </w:tc>
        <w:tc>
          <w:tcPr>
            <w:tcW w:w="1808" w:type="dxa"/>
          </w:tcPr>
          <w:p w14:paraId="78C31638" w14:textId="77777777" w:rsidR="00B4226B" w:rsidRPr="00D55542" w:rsidRDefault="00B4226B" w:rsidP="00A932B5">
            <w:pPr>
              <w:jc w:val="center"/>
              <w:rPr>
                <w:sz w:val="24"/>
                <w:szCs w:val="24"/>
                <w:lang w:val="lt-LT"/>
              </w:rPr>
            </w:pPr>
            <w:r w:rsidRPr="00D55542">
              <w:rPr>
                <w:sz w:val="24"/>
                <w:szCs w:val="24"/>
                <w:lang w:val="lt-LT"/>
              </w:rPr>
              <w:t>Nuolat</w:t>
            </w:r>
          </w:p>
        </w:tc>
      </w:tr>
      <w:tr w:rsidR="00B4226B" w:rsidRPr="00D55542" w14:paraId="0AFD6EE0" w14:textId="77777777" w:rsidTr="00A932B5">
        <w:trPr>
          <w:trHeight w:val="501"/>
        </w:trPr>
        <w:tc>
          <w:tcPr>
            <w:tcW w:w="568" w:type="dxa"/>
          </w:tcPr>
          <w:p w14:paraId="5D7A9106" w14:textId="77777777" w:rsidR="00B4226B" w:rsidRPr="00D55542" w:rsidRDefault="00B4226B" w:rsidP="00A932B5">
            <w:pPr>
              <w:rPr>
                <w:sz w:val="24"/>
                <w:szCs w:val="24"/>
                <w:lang w:val="lt-LT"/>
              </w:rPr>
            </w:pPr>
            <w:r w:rsidRPr="00D55542">
              <w:rPr>
                <w:sz w:val="24"/>
                <w:szCs w:val="24"/>
                <w:lang w:val="lt-LT"/>
              </w:rPr>
              <w:lastRenderedPageBreak/>
              <w:t>4.</w:t>
            </w:r>
          </w:p>
        </w:tc>
        <w:tc>
          <w:tcPr>
            <w:tcW w:w="7512" w:type="dxa"/>
          </w:tcPr>
          <w:p w14:paraId="421A7C9B" w14:textId="77777777" w:rsidR="00B4226B" w:rsidRPr="00D55542" w:rsidRDefault="00B4226B" w:rsidP="00A932B5">
            <w:pPr>
              <w:pStyle w:val="TableText"/>
              <w:jc w:val="both"/>
              <w:rPr>
                <w:lang w:val="lt-LT" w:eastAsia="lt-LT"/>
              </w:rPr>
            </w:pPr>
            <w:r w:rsidRPr="00D55542">
              <w:rPr>
                <w:lang w:val="lt-LT" w:eastAsia="lt-LT"/>
              </w:rPr>
              <w:t>Tvarkyti Kontrolės ir audito tarnybos buhalterinę apskaitą.</w:t>
            </w:r>
          </w:p>
          <w:p w14:paraId="0D2B0F98" w14:textId="77777777" w:rsidR="00B4226B" w:rsidRPr="00D55542" w:rsidRDefault="00B4226B" w:rsidP="00A932B5">
            <w:pPr>
              <w:pStyle w:val="TableText"/>
              <w:jc w:val="both"/>
              <w:rPr>
                <w:lang w:val="lt-LT" w:eastAsia="lt-LT"/>
              </w:rPr>
            </w:pPr>
            <w:r w:rsidRPr="00D55542">
              <w:rPr>
                <w:lang w:val="lt-LT" w:eastAsia="lt-LT"/>
              </w:rPr>
              <w:t>Parengti 201</w:t>
            </w:r>
            <w:r>
              <w:rPr>
                <w:lang w:val="lt-LT" w:eastAsia="lt-LT"/>
              </w:rPr>
              <w:t>8</w:t>
            </w:r>
            <w:r w:rsidRPr="00D55542">
              <w:rPr>
                <w:lang w:val="lt-LT" w:eastAsia="lt-LT"/>
              </w:rPr>
              <w:t xml:space="preserve"> metų finansinių, biudžeto vykdymo   ataskaitų rinkinius,  sudaryti 2019 metų tarpines ataskaitas.</w:t>
            </w:r>
          </w:p>
        </w:tc>
        <w:tc>
          <w:tcPr>
            <w:tcW w:w="1808" w:type="dxa"/>
          </w:tcPr>
          <w:p w14:paraId="4801E00F" w14:textId="77777777" w:rsidR="00B4226B" w:rsidRPr="00D55542" w:rsidRDefault="00B4226B" w:rsidP="00A932B5">
            <w:pPr>
              <w:jc w:val="center"/>
              <w:rPr>
                <w:sz w:val="24"/>
                <w:szCs w:val="24"/>
                <w:lang w:val="lt-LT"/>
              </w:rPr>
            </w:pPr>
            <w:r w:rsidRPr="00D55542">
              <w:rPr>
                <w:sz w:val="24"/>
                <w:szCs w:val="24"/>
                <w:lang w:val="lt-LT"/>
              </w:rPr>
              <w:t>Pagal nustatytus terminus</w:t>
            </w:r>
          </w:p>
        </w:tc>
      </w:tr>
      <w:tr w:rsidR="00B4226B" w:rsidRPr="00D55542" w14:paraId="39FC29D2" w14:textId="77777777" w:rsidTr="00A932B5">
        <w:trPr>
          <w:trHeight w:val="501"/>
        </w:trPr>
        <w:tc>
          <w:tcPr>
            <w:tcW w:w="568" w:type="dxa"/>
          </w:tcPr>
          <w:p w14:paraId="37934F88" w14:textId="77777777" w:rsidR="00B4226B" w:rsidRPr="00D55542" w:rsidRDefault="00B4226B" w:rsidP="00A932B5">
            <w:pPr>
              <w:rPr>
                <w:sz w:val="24"/>
                <w:szCs w:val="24"/>
                <w:lang w:val="lt-LT"/>
              </w:rPr>
            </w:pPr>
            <w:r w:rsidRPr="00D55542">
              <w:rPr>
                <w:sz w:val="24"/>
                <w:szCs w:val="24"/>
                <w:lang w:val="lt-LT"/>
              </w:rPr>
              <w:t xml:space="preserve">5. </w:t>
            </w:r>
          </w:p>
        </w:tc>
        <w:tc>
          <w:tcPr>
            <w:tcW w:w="7512" w:type="dxa"/>
          </w:tcPr>
          <w:p w14:paraId="295EEB2D" w14:textId="77777777" w:rsidR="00B4226B" w:rsidRPr="00D55542" w:rsidRDefault="00B4226B" w:rsidP="00A932B5">
            <w:pPr>
              <w:pStyle w:val="TableText"/>
              <w:jc w:val="both"/>
              <w:rPr>
                <w:lang w:val="lt-LT"/>
              </w:rPr>
            </w:pPr>
            <w:r w:rsidRPr="00D55542">
              <w:rPr>
                <w:lang w:val="lt-LT"/>
              </w:rPr>
              <w:t xml:space="preserve">Sutvarkyti Tarnybos 2017 metų dokumentų bylas, parengti trumpai  saugomų bylų sąrašą, nuolat ir ilgai saugomų bylų apyrašus, suderinti su Kauno </w:t>
            </w:r>
            <w:r>
              <w:rPr>
                <w:lang w:val="lt-LT"/>
              </w:rPr>
              <w:t>regioniniu valstybės archyvu</w:t>
            </w:r>
            <w:r w:rsidRPr="00D55542">
              <w:rPr>
                <w:lang w:val="lt-LT"/>
              </w:rPr>
              <w:t xml:space="preserve">, juos patvirtinti. </w:t>
            </w:r>
            <w:r w:rsidRPr="00D55542">
              <w:t xml:space="preserve"> </w:t>
            </w:r>
          </w:p>
        </w:tc>
        <w:tc>
          <w:tcPr>
            <w:tcW w:w="1808" w:type="dxa"/>
          </w:tcPr>
          <w:p w14:paraId="3970DDDD" w14:textId="77777777" w:rsidR="00B4226B" w:rsidRPr="00D55542" w:rsidRDefault="00B4226B" w:rsidP="00A932B5">
            <w:pPr>
              <w:jc w:val="center"/>
              <w:rPr>
                <w:sz w:val="24"/>
                <w:szCs w:val="24"/>
                <w:lang w:val="lt-LT"/>
              </w:rPr>
            </w:pPr>
            <w:r w:rsidRPr="00D55542">
              <w:rPr>
                <w:sz w:val="24"/>
                <w:szCs w:val="24"/>
                <w:lang w:val="lt-LT"/>
              </w:rPr>
              <w:t>II pusmetis</w:t>
            </w:r>
          </w:p>
        </w:tc>
      </w:tr>
      <w:tr w:rsidR="00B4226B" w:rsidRPr="00D55542" w14:paraId="1C13B611" w14:textId="77777777" w:rsidTr="00A932B5">
        <w:trPr>
          <w:trHeight w:val="501"/>
        </w:trPr>
        <w:tc>
          <w:tcPr>
            <w:tcW w:w="568" w:type="dxa"/>
          </w:tcPr>
          <w:p w14:paraId="19DD4285" w14:textId="77777777" w:rsidR="00B4226B" w:rsidRPr="00D55542" w:rsidRDefault="00B4226B" w:rsidP="00A932B5">
            <w:pPr>
              <w:rPr>
                <w:sz w:val="24"/>
                <w:szCs w:val="24"/>
                <w:lang w:val="lt-LT"/>
              </w:rPr>
            </w:pPr>
            <w:r w:rsidRPr="00D55542">
              <w:rPr>
                <w:sz w:val="24"/>
                <w:szCs w:val="24"/>
                <w:lang w:val="lt-LT"/>
              </w:rPr>
              <w:t>6.</w:t>
            </w:r>
          </w:p>
        </w:tc>
        <w:tc>
          <w:tcPr>
            <w:tcW w:w="7512" w:type="dxa"/>
          </w:tcPr>
          <w:p w14:paraId="584DAB00" w14:textId="77777777" w:rsidR="00B4226B" w:rsidRPr="00D55542" w:rsidRDefault="00B4226B" w:rsidP="00A932B5">
            <w:pPr>
              <w:pStyle w:val="TableText"/>
              <w:jc w:val="both"/>
              <w:rPr>
                <w:lang w:val="lt-LT"/>
              </w:rPr>
            </w:pPr>
            <w:r w:rsidRPr="00D55542">
              <w:rPr>
                <w:lang w:val="lt-LT"/>
              </w:rPr>
              <w:t>Parengti 2020 metų  Kontrolės ir audito tarnybos veiklos plano projektą, pateikti Kontrolės komitetui</w:t>
            </w:r>
            <w:r>
              <w:rPr>
                <w:lang w:val="lt-LT"/>
              </w:rPr>
              <w:t xml:space="preserve">, Valstybės kontrolei </w:t>
            </w:r>
            <w:r w:rsidRPr="00D55542">
              <w:rPr>
                <w:lang w:val="lt-LT"/>
              </w:rPr>
              <w:t xml:space="preserve"> </w:t>
            </w:r>
          </w:p>
        </w:tc>
        <w:tc>
          <w:tcPr>
            <w:tcW w:w="1808" w:type="dxa"/>
          </w:tcPr>
          <w:p w14:paraId="36A6122A" w14:textId="77777777" w:rsidR="00B4226B" w:rsidRPr="00D55542" w:rsidRDefault="00B4226B" w:rsidP="00A932B5">
            <w:pPr>
              <w:jc w:val="center"/>
              <w:rPr>
                <w:sz w:val="24"/>
                <w:szCs w:val="24"/>
                <w:lang w:val="lt-LT"/>
              </w:rPr>
            </w:pPr>
            <w:r w:rsidRPr="00D55542">
              <w:rPr>
                <w:sz w:val="24"/>
                <w:szCs w:val="24"/>
                <w:lang w:val="lt-LT"/>
              </w:rPr>
              <w:t>Iki lapkričio 15 d.</w:t>
            </w:r>
          </w:p>
        </w:tc>
      </w:tr>
      <w:tr w:rsidR="00B4226B" w:rsidRPr="00D55542" w14:paraId="794FB972" w14:textId="77777777" w:rsidTr="00A932B5">
        <w:trPr>
          <w:trHeight w:val="501"/>
        </w:trPr>
        <w:tc>
          <w:tcPr>
            <w:tcW w:w="568" w:type="dxa"/>
          </w:tcPr>
          <w:p w14:paraId="3B3C77BA" w14:textId="77777777" w:rsidR="00B4226B" w:rsidRPr="00D55542" w:rsidRDefault="00B4226B" w:rsidP="00A932B5">
            <w:pPr>
              <w:rPr>
                <w:sz w:val="24"/>
                <w:szCs w:val="24"/>
                <w:lang w:val="lt-LT"/>
              </w:rPr>
            </w:pPr>
            <w:r w:rsidRPr="00D55542">
              <w:rPr>
                <w:sz w:val="24"/>
                <w:szCs w:val="24"/>
                <w:lang w:val="lt-LT"/>
              </w:rPr>
              <w:t>7.</w:t>
            </w:r>
          </w:p>
        </w:tc>
        <w:tc>
          <w:tcPr>
            <w:tcW w:w="7512" w:type="dxa"/>
          </w:tcPr>
          <w:p w14:paraId="19C9F456" w14:textId="77777777" w:rsidR="00B4226B" w:rsidRPr="00D55542" w:rsidRDefault="00B4226B" w:rsidP="00A932B5">
            <w:pPr>
              <w:pStyle w:val="TableText"/>
              <w:jc w:val="both"/>
              <w:rPr>
                <w:lang w:val="lt-LT"/>
              </w:rPr>
            </w:pPr>
            <w:r w:rsidRPr="00D55542">
              <w:rPr>
                <w:lang w:val="lt-LT"/>
              </w:rPr>
              <w:t xml:space="preserve">Kitos, su Tarnybos veiklos organizavimu susijusios  veiklos vykdymas </w:t>
            </w:r>
          </w:p>
          <w:p w14:paraId="73AF51F1" w14:textId="77777777" w:rsidR="00B4226B" w:rsidRPr="00D55542" w:rsidRDefault="00B4226B" w:rsidP="00A932B5">
            <w:pPr>
              <w:pStyle w:val="TableText"/>
              <w:jc w:val="both"/>
              <w:rPr>
                <w:lang w:val="lt-LT"/>
              </w:rPr>
            </w:pPr>
            <w:r w:rsidRPr="00D55542">
              <w:rPr>
                <w:lang w:val="lt-LT"/>
              </w:rPr>
              <w:t>(dalyvavimas komitetų, komisijos posėdžiuose, informacijos rengimas ir teikimas, bendradarbiavimas, kt.)</w:t>
            </w:r>
          </w:p>
        </w:tc>
        <w:tc>
          <w:tcPr>
            <w:tcW w:w="1808" w:type="dxa"/>
          </w:tcPr>
          <w:p w14:paraId="27E78E6D" w14:textId="77777777" w:rsidR="00B4226B" w:rsidRPr="00D55542" w:rsidRDefault="00B4226B" w:rsidP="00A932B5">
            <w:pPr>
              <w:jc w:val="center"/>
              <w:rPr>
                <w:sz w:val="24"/>
                <w:szCs w:val="24"/>
                <w:lang w:val="lt-LT"/>
              </w:rPr>
            </w:pPr>
            <w:r w:rsidRPr="00D55542">
              <w:rPr>
                <w:sz w:val="24"/>
                <w:szCs w:val="24"/>
                <w:lang w:val="lt-LT"/>
              </w:rPr>
              <w:t>Nuolat</w:t>
            </w:r>
          </w:p>
        </w:tc>
      </w:tr>
    </w:tbl>
    <w:p w14:paraId="028A400E" w14:textId="77777777" w:rsidR="00B4226B" w:rsidRPr="00D55542" w:rsidRDefault="00B4226B" w:rsidP="00B4226B">
      <w:pPr>
        <w:tabs>
          <w:tab w:val="left" w:pos="5812"/>
        </w:tabs>
        <w:rPr>
          <w:sz w:val="24"/>
          <w:szCs w:val="24"/>
          <w:lang w:val="lt-LT"/>
        </w:rPr>
      </w:pPr>
    </w:p>
    <w:p w14:paraId="0CC81375" w14:textId="77777777" w:rsidR="00B4226B" w:rsidRPr="00D55542" w:rsidRDefault="00B4226B" w:rsidP="00B4226B">
      <w:pPr>
        <w:jc w:val="both"/>
        <w:rPr>
          <w:sz w:val="24"/>
          <w:szCs w:val="24"/>
          <w:lang w:val="lt-LT"/>
        </w:rPr>
      </w:pPr>
    </w:p>
    <w:p w14:paraId="729F3616" w14:textId="77777777" w:rsidR="00B4226B" w:rsidRPr="00A018BE" w:rsidRDefault="00B4226B" w:rsidP="00B4226B">
      <w:pPr>
        <w:spacing w:line="360" w:lineRule="auto"/>
        <w:jc w:val="both"/>
        <w:rPr>
          <w:color w:val="2F5496"/>
          <w:sz w:val="24"/>
          <w:szCs w:val="24"/>
          <w:lang w:val="lt-LT"/>
        </w:rPr>
      </w:pPr>
      <w:r w:rsidRPr="00A018BE">
        <w:rPr>
          <w:color w:val="2F5496"/>
          <w:sz w:val="24"/>
          <w:szCs w:val="24"/>
          <w:lang w:val="lt-LT"/>
        </w:rPr>
        <w:t>TARNYBOS VEIKLOS VERTINIMO KRITERIJAI</w:t>
      </w:r>
    </w:p>
    <w:p w14:paraId="60EADEDF" w14:textId="77777777" w:rsidR="00B4226B" w:rsidRPr="00A018BE" w:rsidRDefault="00B4226B" w:rsidP="00B4226B">
      <w:pPr>
        <w:spacing w:line="360" w:lineRule="auto"/>
        <w:jc w:val="both"/>
        <w:rPr>
          <w:color w:val="2F5496"/>
          <w:sz w:val="24"/>
          <w:szCs w:val="24"/>
          <w:lang w:val="lt-LT"/>
        </w:rPr>
      </w:pPr>
      <w:r w:rsidRPr="00A018BE">
        <w:rPr>
          <w:color w:val="2F5496"/>
          <w:sz w:val="24"/>
          <w:szCs w:val="24"/>
          <w:lang w:val="lt-LT"/>
        </w:rPr>
        <w:t>Pasiekto rezultato vertinimas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2807"/>
      </w:tblGrid>
      <w:tr w:rsidR="00B4226B" w:rsidRPr="003F4F92" w14:paraId="11B67202" w14:textId="77777777" w:rsidTr="00A932B5">
        <w:trPr>
          <w:trHeight w:val="180"/>
        </w:trPr>
        <w:tc>
          <w:tcPr>
            <w:tcW w:w="6912" w:type="dxa"/>
            <w:vMerge w:val="restart"/>
          </w:tcPr>
          <w:p w14:paraId="2D74E981" w14:textId="77777777" w:rsidR="00B4226B" w:rsidRPr="003F4F92" w:rsidRDefault="00B4226B" w:rsidP="00A932B5">
            <w:pPr>
              <w:jc w:val="both"/>
              <w:rPr>
                <w:bCs/>
                <w:sz w:val="24"/>
                <w:szCs w:val="24"/>
                <w:lang w:val="lt-LT"/>
              </w:rPr>
            </w:pPr>
            <w:r w:rsidRPr="003F4F92">
              <w:rPr>
                <w:bCs/>
                <w:sz w:val="24"/>
                <w:szCs w:val="24"/>
                <w:lang w:val="lt-LT"/>
              </w:rPr>
              <w:t>Tikslų, uždavinių, vertinimo kriterijų pavadinimai ir mato vienetai</w:t>
            </w:r>
          </w:p>
        </w:tc>
        <w:tc>
          <w:tcPr>
            <w:tcW w:w="2835" w:type="dxa"/>
          </w:tcPr>
          <w:p w14:paraId="792EC131" w14:textId="77777777" w:rsidR="00B4226B" w:rsidRPr="003F4F92" w:rsidRDefault="00B4226B" w:rsidP="00A932B5">
            <w:pPr>
              <w:jc w:val="center"/>
              <w:rPr>
                <w:bCs/>
                <w:sz w:val="24"/>
                <w:szCs w:val="24"/>
                <w:lang w:val="lt-LT"/>
              </w:rPr>
            </w:pPr>
            <w:r w:rsidRPr="003F4F92">
              <w:rPr>
                <w:bCs/>
                <w:sz w:val="24"/>
                <w:szCs w:val="24"/>
                <w:lang w:val="lt-LT"/>
              </w:rPr>
              <w:t>Vertinimų kriterijų reikšmė</w:t>
            </w:r>
          </w:p>
        </w:tc>
      </w:tr>
      <w:tr w:rsidR="00B4226B" w:rsidRPr="003F4F92" w14:paraId="20532E67" w14:textId="77777777" w:rsidTr="00A932B5">
        <w:trPr>
          <w:trHeight w:val="285"/>
        </w:trPr>
        <w:tc>
          <w:tcPr>
            <w:tcW w:w="6912" w:type="dxa"/>
            <w:vMerge/>
          </w:tcPr>
          <w:p w14:paraId="1F407E49" w14:textId="77777777" w:rsidR="00B4226B" w:rsidRPr="003F4F92" w:rsidRDefault="00B4226B" w:rsidP="00A932B5">
            <w:pPr>
              <w:jc w:val="both"/>
              <w:rPr>
                <w:bCs/>
                <w:sz w:val="24"/>
                <w:szCs w:val="24"/>
                <w:lang w:val="lt-LT"/>
              </w:rPr>
            </w:pPr>
          </w:p>
        </w:tc>
        <w:tc>
          <w:tcPr>
            <w:tcW w:w="2835" w:type="dxa"/>
          </w:tcPr>
          <w:p w14:paraId="08397BE8" w14:textId="77777777" w:rsidR="00B4226B" w:rsidRPr="003F4F92" w:rsidRDefault="00B4226B" w:rsidP="00A932B5">
            <w:pPr>
              <w:jc w:val="center"/>
              <w:rPr>
                <w:bCs/>
                <w:sz w:val="24"/>
                <w:szCs w:val="24"/>
                <w:lang w:val="lt-LT"/>
              </w:rPr>
            </w:pPr>
            <w:r w:rsidRPr="003F4F92">
              <w:rPr>
                <w:bCs/>
                <w:sz w:val="24"/>
                <w:szCs w:val="24"/>
                <w:lang w:val="lt-LT"/>
              </w:rPr>
              <w:t>2019 metų</w:t>
            </w:r>
          </w:p>
        </w:tc>
      </w:tr>
      <w:tr w:rsidR="00B4226B" w:rsidRPr="003F4F92" w14:paraId="0624D0B9" w14:textId="77777777" w:rsidTr="00A932B5">
        <w:tc>
          <w:tcPr>
            <w:tcW w:w="6912" w:type="dxa"/>
          </w:tcPr>
          <w:p w14:paraId="3227E4F5" w14:textId="77777777" w:rsidR="00B4226B" w:rsidRPr="003F4F92" w:rsidRDefault="00B4226B" w:rsidP="00A932B5">
            <w:pPr>
              <w:jc w:val="both"/>
              <w:rPr>
                <w:color w:val="000000"/>
                <w:sz w:val="24"/>
                <w:szCs w:val="24"/>
                <w:lang w:val="lt-LT"/>
              </w:rPr>
            </w:pPr>
            <w:r w:rsidRPr="003F4F92">
              <w:rPr>
                <w:color w:val="000000"/>
                <w:sz w:val="24"/>
                <w:szCs w:val="24"/>
                <w:lang w:val="lt-LT"/>
              </w:rPr>
              <w:t>Savivaldybės kontrolės ir audito tarnybos atliktų auditų skaičius</w:t>
            </w:r>
          </w:p>
          <w:p w14:paraId="3F87660B" w14:textId="77777777" w:rsidR="00B4226B" w:rsidRPr="003F4F92" w:rsidRDefault="00B4226B" w:rsidP="00A932B5">
            <w:pPr>
              <w:jc w:val="both"/>
              <w:rPr>
                <w:bCs/>
                <w:sz w:val="24"/>
                <w:szCs w:val="24"/>
                <w:lang w:val="lt-LT"/>
              </w:rPr>
            </w:pPr>
          </w:p>
        </w:tc>
        <w:tc>
          <w:tcPr>
            <w:tcW w:w="2835" w:type="dxa"/>
          </w:tcPr>
          <w:p w14:paraId="48628212" w14:textId="77777777" w:rsidR="00B4226B" w:rsidRPr="003F4F92" w:rsidRDefault="00B4226B" w:rsidP="00A932B5">
            <w:pPr>
              <w:spacing w:line="360" w:lineRule="auto"/>
              <w:jc w:val="center"/>
              <w:rPr>
                <w:bCs/>
                <w:sz w:val="24"/>
                <w:szCs w:val="24"/>
                <w:lang w:val="lt-LT"/>
              </w:rPr>
            </w:pPr>
            <w:r w:rsidRPr="003F4F92">
              <w:rPr>
                <w:bCs/>
                <w:sz w:val="24"/>
                <w:szCs w:val="24"/>
                <w:lang w:val="lt-LT"/>
              </w:rPr>
              <w:t>10</w:t>
            </w:r>
          </w:p>
        </w:tc>
      </w:tr>
    </w:tbl>
    <w:p w14:paraId="4D67F710" w14:textId="77777777" w:rsidR="00B4226B" w:rsidRPr="003F4F92" w:rsidRDefault="00B4226B" w:rsidP="00B4226B">
      <w:pPr>
        <w:spacing w:line="360" w:lineRule="auto"/>
        <w:jc w:val="both"/>
        <w:rPr>
          <w:color w:val="2F5496"/>
          <w:sz w:val="24"/>
          <w:szCs w:val="24"/>
          <w:lang w:val="lt-LT"/>
        </w:rPr>
      </w:pPr>
    </w:p>
    <w:p w14:paraId="287E00F2" w14:textId="77777777" w:rsidR="00B4226B" w:rsidRPr="003F4F92" w:rsidRDefault="00B4226B" w:rsidP="00B4226B">
      <w:pPr>
        <w:spacing w:line="360" w:lineRule="auto"/>
        <w:jc w:val="both"/>
        <w:rPr>
          <w:bCs/>
          <w:sz w:val="24"/>
          <w:szCs w:val="24"/>
          <w:u w:val="single"/>
          <w:lang w:val="lt-LT"/>
        </w:rPr>
      </w:pPr>
      <w:r w:rsidRPr="003F4F92">
        <w:rPr>
          <w:color w:val="2F5496"/>
          <w:sz w:val="24"/>
          <w:szCs w:val="24"/>
          <w:lang w:val="lt-LT"/>
        </w:rPr>
        <w:t>Efekto vertinimas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2807"/>
      </w:tblGrid>
      <w:tr w:rsidR="00B4226B" w:rsidRPr="003F4F92" w14:paraId="0D24E9E6" w14:textId="77777777" w:rsidTr="00A932B5">
        <w:trPr>
          <w:trHeight w:val="180"/>
        </w:trPr>
        <w:tc>
          <w:tcPr>
            <w:tcW w:w="6912" w:type="dxa"/>
            <w:vMerge w:val="restart"/>
          </w:tcPr>
          <w:p w14:paraId="04F71F7B" w14:textId="77777777" w:rsidR="00B4226B" w:rsidRPr="003F4F92" w:rsidRDefault="00B4226B" w:rsidP="00A932B5">
            <w:pPr>
              <w:jc w:val="both"/>
              <w:rPr>
                <w:bCs/>
                <w:sz w:val="24"/>
                <w:szCs w:val="24"/>
                <w:lang w:val="lt-LT"/>
              </w:rPr>
            </w:pPr>
            <w:r w:rsidRPr="003F4F92">
              <w:rPr>
                <w:bCs/>
                <w:sz w:val="24"/>
                <w:szCs w:val="24"/>
                <w:lang w:val="lt-LT"/>
              </w:rPr>
              <w:t>Tikslų, uždavinių, vertinimo kriterijų pavadinimai ir mato vienetai</w:t>
            </w:r>
          </w:p>
        </w:tc>
        <w:tc>
          <w:tcPr>
            <w:tcW w:w="2835" w:type="dxa"/>
          </w:tcPr>
          <w:p w14:paraId="177F63D0" w14:textId="77777777" w:rsidR="00B4226B" w:rsidRPr="003F4F92" w:rsidRDefault="00B4226B" w:rsidP="00A932B5">
            <w:pPr>
              <w:jc w:val="center"/>
              <w:rPr>
                <w:bCs/>
                <w:sz w:val="24"/>
                <w:szCs w:val="24"/>
                <w:lang w:val="lt-LT"/>
              </w:rPr>
            </w:pPr>
            <w:r w:rsidRPr="003F4F92">
              <w:rPr>
                <w:bCs/>
                <w:sz w:val="24"/>
                <w:szCs w:val="24"/>
                <w:lang w:val="lt-LT"/>
              </w:rPr>
              <w:t>Vertinimų kriterijų reikšmė</w:t>
            </w:r>
          </w:p>
        </w:tc>
      </w:tr>
      <w:tr w:rsidR="00B4226B" w:rsidRPr="003F4F92" w14:paraId="2B5A3F88" w14:textId="77777777" w:rsidTr="00A932B5">
        <w:trPr>
          <w:trHeight w:val="285"/>
        </w:trPr>
        <w:tc>
          <w:tcPr>
            <w:tcW w:w="6912" w:type="dxa"/>
            <w:vMerge/>
          </w:tcPr>
          <w:p w14:paraId="5C2DCD08" w14:textId="77777777" w:rsidR="00B4226B" w:rsidRPr="003F4F92" w:rsidRDefault="00B4226B" w:rsidP="00A932B5">
            <w:pPr>
              <w:jc w:val="both"/>
              <w:rPr>
                <w:bCs/>
                <w:sz w:val="24"/>
                <w:szCs w:val="24"/>
                <w:lang w:val="lt-LT"/>
              </w:rPr>
            </w:pPr>
          </w:p>
        </w:tc>
        <w:tc>
          <w:tcPr>
            <w:tcW w:w="2835" w:type="dxa"/>
          </w:tcPr>
          <w:p w14:paraId="641F99C0" w14:textId="77777777" w:rsidR="00B4226B" w:rsidRPr="003F4F92" w:rsidRDefault="00B4226B" w:rsidP="00A932B5">
            <w:pPr>
              <w:jc w:val="center"/>
              <w:rPr>
                <w:bCs/>
                <w:sz w:val="24"/>
                <w:szCs w:val="24"/>
                <w:lang w:val="lt-LT"/>
              </w:rPr>
            </w:pPr>
            <w:r w:rsidRPr="003F4F92">
              <w:rPr>
                <w:bCs/>
                <w:sz w:val="24"/>
                <w:szCs w:val="24"/>
                <w:lang w:val="lt-LT"/>
              </w:rPr>
              <w:t>2019 metų</w:t>
            </w:r>
          </w:p>
        </w:tc>
      </w:tr>
      <w:tr w:rsidR="00B4226B" w:rsidRPr="003F4F92" w14:paraId="1E3CD2DA" w14:textId="77777777" w:rsidTr="00A932B5">
        <w:tc>
          <w:tcPr>
            <w:tcW w:w="6912" w:type="dxa"/>
          </w:tcPr>
          <w:p w14:paraId="404403A5" w14:textId="77777777" w:rsidR="00B4226B" w:rsidRPr="003F4F92" w:rsidRDefault="00B4226B" w:rsidP="00A932B5">
            <w:pPr>
              <w:jc w:val="both"/>
              <w:rPr>
                <w:color w:val="000000"/>
                <w:sz w:val="24"/>
                <w:szCs w:val="24"/>
              </w:rPr>
            </w:pPr>
            <w:r w:rsidRPr="003F4F92">
              <w:rPr>
                <w:color w:val="000000"/>
                <w:sz w:val="24"/>
                <w:szCs w:val="24"/>
                <w:lang w:val="lt-LT"/>
              </w:rPr>
              <w:t>Kontrolės ir audito tarnybos rekomendacijų įgyvendinimas, procentais</w:t>
            </w:r>
          </w:p>
          <w:p w14:paraId="0C4CB679" w14:textId="77777777" w:rsidR="00B4226B" w:rsidRPr="003F4F92" w:rsidRDefault="00B4226B" w:rsidP="00A932B5">
            <w:pPr>
              <w:jc w:val="both"/>
              <w:rPr>
                <w:bCs/>
                <w:sz w:val="24"/>
                <w:szCs w:val="24"/>
                <w:lang w:val="lt-LT"/>
              </w:rPr>
            </w:pPr>
          </w:p>
        </w:tc>
        <w:tc>
          <w:tcPr>
            <w:tcW w:w="2835" w:type="dxa"/>
          </w:tcPr>
          <w:p w14:paraId="7600F826" w14:textId="77777777" w:rsidR="00B4226B" w:rsidRPr="003F4F92" w:rsidRDefault="00B4226B" w:rsidP="00A932B5">
            <w:pPr>
              <w:spacing w:line="360" w:lineRule="auto"/>
              <w:jc w:val="center"/>
              <w:rPr>
                <w:bCs/>
                <w:sz w:val="24"/>
                <w:szCs w:val="24"/>
                <w:lang w:val="lt-LT"/>
              </w:rPr>
            </w:pPr>
            <w:r w:rsidRPr="003F4F92">
              <w:rPr>
                <w:bCs/>
                <w:sz w:val="24"/>
                <w:szCs w:val="24"/>
                <w:lang w:val="lt-LT"/>
              </w:rPr>
              <w:t>96</w:t>
            </w:r>
          </w:p>
        </w:tc>
      </w:tr>
    </w:tbl>
    <w:p w14:paraId="1E71B137" w14:textId="77777777" w:rsidR="00B4226B" w:rsidRDefault="00B4226B" w:rsidP="00B4226B">
      <w:pPr>
        <w:spacing w:line="360" w:lineRule="auto"/>
        <w:rPr>
          <w:sz w:val="24"/>
          <w:szCs w:val="24"/>
          <w:lang w:val="lt-LT"/>
        </w:rPr>
      </w:pPr>
    </w:p>
    <w:p w14:paraId="0AA8516B" w14:textId="77777777" w:rsidR="00B4226B" w:rsidRDefault="00B4226B" w:rsidP="00B4226B">
      <w:pPr>
        <w:spacing w:line="360" w:lineRule="auto"/>
        <w:jc w:val="center"/>
        <w:rPr>
          <w:sz w:val="24"/>
          <w:szCs w:val="24"/>
          <w:lang w:val="lt-LT"/>
        </w:rPr>
      </w:pPr>
      <w:r>
        <w:rPr>
          <w:sz w:val="24"/>
          <w:szCs w:val="24"/>
          <w:lang w:val="lt-LT"/>
        </w:rPr>
        <w:t>_______________</w:t>
      </w:r>
    </w:p>
    <w:p w14:paraId="76481F74" w14:textId="77777777" w:rsidR="00B4226B" w:rsidRPr="00F43520" w:rsidRDefault="00B4226B" w:rsidP="00B4226B">
      <w:pPr>
        <w:spacing w:line="360" w:lineRule="auto"/>
        <w:rPr>
          <w:color w:val="2F5496"/>
          <w:sz w:val="22"/>
          <w:szCs w:val="22"/>
          <w:lang w:val="lt-LT"/>
        </w:rPr>
      </w:pPr>
    </w:p>
    <w:p w14:paraId="47EB9E13" w14:textId="77777777" w:rsidR="00B4226B" w:rsidRPr="00F43520" w:rsidRDefault="00B4226B" w:rsidP="00B4226B">
      <w:pPr>
        <w:spacing w:line="360" w:lineRule="auto"/>
        <w:rPr>
          <w:color w:val="2F5496"/>
          <w:sz w:val="22"/>
          <w:szCs w:val="22"/>
          <w:lang w:val="lt-LT"/>
        </w:rPr>
      </w:pPr>
    </w:p>
    <w:p w14:paraId="351C1F56" w14:textId="77777777" w:rsidR="00B4226B" w:rsidRPr="00F43520" w:rsidRDefault="00B4226B" w:rsidP="00B4226B">
      <w:pPr>
        <w:spacing w:line="360" w:lineRule="auto"/>
        <w:rPr>
          <w:color w:val="2F5496"/>
          <w:sz w:val="22"/>
          <w:szCs w:val="22"/>
          <w:lang w:val="lt-LT"/>
        </w:rPr>
      </w:pPr>
      <w:r w:rsidRPr="00F43520">
        <w:rPr>
          <w:color w:val="2F5496"/>
          <w:sz w:val="22"/>
          <w:szCs w:val="22"/>
          <w:lang w:val="lt-LT"/>
        </w:rPr>
        <w:t>SUDERINTA</w:t>
      </w:r>
    </w:p>
    <w:p w14:paraId="12EAF751" w14:textId="77777777" w:rsidR="00B4226B" w:rsidRPr="00F43520" w:rsidRDefault="00B4226B" w:rsidP="00B4226B">
      <w:pPr>
        <w:spacing w:line="360" w:lineRule="auto"/>
        <w:rPr>
          <w:color w:val="2F5496"/>
          <w:sz w:val="22"/>
          <w:szCs w:val="22"/>
          <w:lang w:val="lt-LT"/>
        </w:rPr>
      </w:pPr>
      <w:r w:rsidRPr="00F43520">
        <w:rPr>
          <w:color w:val="2F5496"/>
          <w:sz w:val="22"/>
          <w:szCs w:val="22"/>
          <w:lang w:val="lt-LT"/>
        </w:rPr>
        <w:t xml:space="preserve">Kaišiadorių rajono savivaldybės kontrolės komiteto </w:t>
      </w:r>
    </w:p>
    <w:p w14:paraId="5B1EA66E" w14:textId="77777777" w:rsidR="00B4226B" w:rsidRPr="00F43520" w:rsidRDefault="00B4226B" w:rsidP="00B4226B">
      <w:pPr>
        <w:spacing w:line="360" w:lineRule="auto"/>
        <w:rPr>
          <w:color w:val="2F5496"/>
          <w:sz w:val="22"/>
          <w:szCs w:val="22"/>
          <w:lang w:val="lt-LT"/>
        </w:rPr>
      </w:pPr>
      <w:r w:rsidRPr="00F43520">
        <w:rPr>
          <w:color w:val="2F5496"/>
          <w:sz w:val="22"/>
          <w:szCs w:val="22"/>
          <w:lang w:val="lt-LT"/>
        </w:rPr>
        <w:t>2018 m. lapkričio 8 d. posėdyje, protokolas  Nr. V39-2.</w:t>
      </w:r>
    </w:p>
    <w:p w14:paraId="41E3B928" w14:textId="77777777" w:rsidR="00B4226B" w:rsidRDefault="00B4226B" w:rsidP="00B4226B">
      <w:pPr>
        <w:spacing w:line="360" w:lineRule="auto"/>
        <w:jc w:val="center"/>
        <w:rPr>
          <w:sz w:val="24"/>
          <w:szCs w:val="24"/>
          <w:lang w:val="lt-LT"/>
        </w:rPr>
      </w:pPr>
    </w:p>
    <w:sectPr w:rsidR="00B422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D72B4"/>
    <w:multiLevelType w:val="hybridMultilevel"/>
    <w:tmpl w:val="40B6EA00"/>
    <w:lvl w:ilvl="0" w:tplc="B0CE64BE">
      <w:start w:val="1"/>
      <w:numFmt w:val="upperRoman"/>
      <w:lvlText w:val="%1."/>
      <w:lvlJc w:val="left"/>
      <w:pPr>
        <w:ind w:left="72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AE"/>
    <w:rsid w:val="004568DC"/>
    <w:rsid w:val="005456B1"/>
    <w:rsid w:val="005E0BA9"/>
    <w:rsid w:val="008B3F8F"/>
    <w:rsid w:val="00B219AE"/>
    <w:rsid w:val="00B4226B"/>
    <w:rsid w:val="00C119BC"/>
    <w:rsid w:val="00DC1441"/>
    <w:rsid w:val="00E83A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40AC"/>
  <w15:chartTrackingRefBased/>
  <w15:docId w15:val="{847608DE-7BED-4B59-9215-42D16088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219AE"/>
    <w:pPr>
      <w:spacing w:after="0" w:line="240" w:lineRule="auto"/>
    </w:pPr>
    <w:rPr>
      <w:rFonts w:ascii="Times New Roman" w:eastAsia="Times New Roman" w:hAnsi="Times New Roman" w:cs="Times New Roman"/>
      <w:sz w:val="20"/>
      <w:szCs w:val="20"/>
      <w:lang w:val="en-US"/>
    </w:rPr>
  </w:style>
  <w:style w:type="paragraph" w:styleId="Antrat1">
    <w:name w:val="heading 1"/>
    <w:basedOn w:val="prastasis"/>
    <w:next w:val="prastasis"/>
    <w:link w:val="Antrat1Diagrama"/>
    <w:qFormat/>
    <w:rsid w:val="00B219AE"/>
    <w:pPr>
      <w:keepNext/>
      <w:jc w:val="center"/>
      <w:outlineLvl w:val="0"/>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219AE"/>
    <w:rPr>
      <w:rFonts w:ascii="Times New Roman" w:eastAsia="Times New Roman" w:hAnsi="Times New Roman" w:cs="Times New Roman"/>
      <w:b/>
      <w:sz w:val="28"/>
      <w:szCs w:val="20"/>
      <w:lang w:val="en-US"/>
    </w:rPr>
  </w:style>
  <w:style w:type="paragraph" w:customStyle="1" w:styleId="TableText">
    <w:name w:val="Table Text"/>
    <w:basedOn w:val="prastasis"/>
    <w:rsid w:val="00B219AE"/>
    <w:pPr>
      <w:autoSpaceDE w:val="0"/>
      <w:autoSpaceDN w:val="0"/>
      <w:adjustRightInd w:val="0"/>
      <w:jc w:val="righ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3731</Words>
  <Characters>2127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Danutė</dc:creator>
  <cp:keywords/>
  <dc:description/>
  <cp:lastModifiedBy>R.Jankauskas</cp:lastModifiedBy>
  <cp:revision>2</cp:revision>
  <dcterms:created xsi:type="dcterms:W3CDTF">2019-01-07T14:27:00Z</dcterms:created>
  <dcterms:modified xsi:type="dcterms:W3CDTF">2019-01-07T14:27:00Z</dcterms:modified>
</cp:coreProperties>
</file>